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2C2E5" w14:textId="5E503305" w:rsidR="006E6D46" w:rsidRPr="002865FD" w:rsidRDefault="006E6D46" w:rsidP="00FD015E">
      <w:pPr>
        <w:pStyle w:val="ChapterTitleCenArial26"/>
        <w:rPr>
          <w:sz w:val="48"/>
          <w:szCs w:val="48"/>
        </w:rPr>
      </w:pPr>
      <w:r w:rsidRPr="002865FD">
        <w:rPr>
          <w:sz w:val="48"/>
          <w:szCs w:val="48"/>
        </w:rPr>
        <w:t>CHAPTER 10</w:t>
      </w:r>
    </w:p>
    <w:p w14:paraId="440B960B" w14:textId="33F1F2BE" w:rsidR="006E6D46" w:rsidRDefault="00586E2C" w:rsidP="00FD015E">
      <w:pPr>
        <w:pStyle w:val="ChapterTitleCenArial26"/>
      </w:pPr>
      <w:r>
        <w:t>CIVIL RIGHTS</w:t>
      </w:r>
      <w:r w:rsidR="00B35EFE">
        <w:t xml:space="preserve"> AND RELATED </w:t>
      </w:r>
      <w:r w:rsidR="006E6D46" w:rsidRPr="00E06233">
        <w:t>REQUIREMENTS</w:t>
      </w:r>
    </w:p>
    <w:p w14:paraId="63FA385D" w14:textId="09E147C1" w:rsidR="00F546E7" w:rsidRDefault="00F546E7" w:rsidP="00FD015E">
      <w:pPr>
        <w:jc w:val="center"/>
      </w:pPr>
    </w:p>
    <w:p w14:paraId="1679AB31" w14:textId="379994E3" w:rsidR="00F546E7" w:rsidRDefault="00F546E7" w:rsidP="00FD015E">
      <w:pPr>
        <w:jc w:val="center"/>
        <w:rPr>
          <w:rFonts w:cs="Arial"/>
          <w:sz w:val="28"/>
          <w:szCs w:val="28"/>
        </w:rPr>
      </w:pPr>
      <w:r w:rsidRPr="00932EAE">
        <w:rPr>
          <w:rFonts w:cs="Arial"/>
          <w:sz w:val="28"/>
          <w:szCs w:val="28"/>
        </w:rPr>
        <w:t>TABLE OF CONTENTS</w:t>
      </w:r>
    </w:p>
    <w:p w14:paraId="19F1A933" w14:textId="77777777" w:rsidR="00FD015E" w:rsidRDefault="00FD015E" w:rsidP="00FD015E"/>
    <w:p w14:paraId="6D735042" w14:textId="6F4EA840" w:rsidR="00FD015E" w:rsidRPr="00FD015E" w:rsidRDefault="00FD015E" w:rsidP="00FD015E">
      <w:pPr>
        <w:jc w:val="right"/>
        <w:rPr>
          <w:rFonts w:cs="Arial"/>
          <w:szCs w:val="22"/>
        </w:rPr>
      </w:pPr>
      <w:r>
        <w:rPr>
          <w:rFonts w:cs="Arial"/>
          <w:szCs w:val="22"/>
        </w:rPr>
        <w:t>Page</w:t>
      </w:r>
    </w:p>
    <w:p w14:paraId="54FCC00C" w14:textId="380F2E46" w:rsidR="0040309F" w:rsidRPr="0040309F" w:rsidRDefault="00597D53">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40309F">
        <w:rPr>
          <w:rFonts w:ascii="Arial" w:hAnsi="Arial" w:cs="Arial"/>
          <w:b w:val="0"/>
          <w:bCs w:val="0"/>
          <w:caps w:val="0"/>
          <w:sz w:val="22"/>
          <w:szCs w:val="22"/>
        </w:rPr>
        <w:fldChar w:fldCharType="begin"/>
      </w:r>
      <w:r w:rsidRPr="0040309F">
        <w:rPr>
          <w:rFonts w:ascii="Arial" w:hAnsi="Arial" w:cs="Arial"/>
          <w:b w:val="0"/>
          <w:bCs w:val="0"/>
          <w:caps w:val="0"/>
          <w:sz w:val="22"/>
          <w:szCs w:val="22"/>
        </w:rPr>
        <w:instrText xml:space="preserve"> TOC \o "1-2" \h \z \u </w:instrText>
      </w:r>
      <w:r w:rsidRPr="0040309F">
        <w:rPr>
          <w:rFonts w:ascii="Arial" w:hAnsi="Arial" w:cs="Arial"/>
          <w:b w:val="0"/>
          <w:bCs w:val="0"/>
          <w:caps w:val="0"/>
          <w:sz w:val="22"/>
          <w:szCs w:val="22"/>
        </w:rPr>
        <w:fldChar w:fldCharType="separate"/>
      </w:r>
      <w:hyperlink w:anchor="_Toc171791347" w:history="1">
        <w:r w:rsidR="0040309F" w:rsidRPr="0040309F">
          <w:rPr>
            <w:rStyle w:val="Hyperlink"/>
            <w:rFonts w:ascii="Arial" w:hAnsi="Arial" w:cs="Arial"/>
            <w:noProof/>
            <w:sz w:val="22"/>
            <w:szCs w:val="22"/>
          </w:rPr>
          <w:t>10.0 Introduction</w:t>
        </w:r>
        <w:r w:rsidR="0040309F" w:rsidRPr="0040309F">
          <w:rPr>
            <w:rFonts w:ascii="Arial" w:hAnsi="Arial" w:cs="Arial"/>
            <w:noProof/>
            <w:webHidden/>
            <w:sz w:val="22"/>
            <w:szCs w:val="22"/>
          </w:rPr>
          <w:tab/>
        </w:r>
        <w:r w:rsidR="0040309F" w:rsidRPr="0040309F">
          <w:rPr>
            <w:rFonts w:ascii="Arial" w:hAnsi="Arial" w:cs="Arial"/>
            <w:noProof/>
            <w:webHidden/>
            <w:sz w:val="22"/>
            <w:szCs w:val="22"/>
          </w:rPr>
          <w:fldChar w:fldCharType="begin"/>
        </w:r>
        <w:r w:rsidR="0040309F" w:rsidRPr="0040309F">
          <w:rPr>
            <w:rFonts w:ascii="Arial" w:hAnsi="Arial" w:cs="Arial"/>
            <w:noProof/>
            <w:webHidden/>
            <w:sz w:val="22"/>
            <w:szCs w:val="22"/>
          </w:rPr>
          <w:instrText xml:space="preserve"> PAGEREF _Toc171791347 \h </w:instrText>
        </w:r>
        <w:r w:rsidR="0040309F" w:rsidRPr="0040309F">
          <w:rPr>
            <w:rFonts w:ascii="Arial" w:hAnsi="Arial" w:cs="Arial"/>
            <w:noProof/>
            <w:webHidden/>
            <w:sz w:val="22"/>
            <w:szCs w:val="22"/>
          </w:rPr>
        </w:r>
        <w:r w:rsidR="0040309F" w:rsidRPr="0040309F">
          <w:rPr>
            <w:rFonts w:ascii="Arial" w:hAnsi="Arial" w:cs="Arial"/>
            <w:noProof/>
            <w:webHidden/>
            <w:sz w:val="22"/>
            <w:szCs w:val="22"/>
          </w:rPr>
          <w:fldChar w:fldCharType="separate"/>
        </w:r>
        <w:r w:rsidR="0040309F" w:rsidRPr="0040309F">
          <w:rPr>
            <w:rFonts w:ascii="Arial" w:hAnsi="Arial" w:cs="Arial"/>
            <w:noProof/>
            <w:webHidden/>
            <w:sz w:val="22"/>
            <w:szCs w:val="22"/>
          </w:rPr>
          <w:t>2</w:t>
        </w:r>
        <w:r w:rsidR="0040309F" w:rsidRPr="0040309F">
          <w:rPr>
            <w:rFonts w:ascii="Arial" w:hAnsi="Arial" w:cs="Arial"/>
            <w:noProof/>
            <w:webHidden/>
            <w:sz w:val="22"/>
            <w:szCs w:val="22"/>
          </w:rPr>
          <w:fldChar w:fldCharType="end"/>
        </w:r>
      </w:hyperlink>
    </w:p>
    <w:p w14:paraId="7F607C13" w14:textId="1AB87138" w:rsidR="0040309F" w:rsidRPr="0040309F" w:rsidRDefault="0040309F">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1348" w:history="1">
        <w:r w:rsidRPr="0040309F">
          <w:rPr>
            <w:rStyle w:val="Hyperlink"/>
            <w:rFonts w:ascii="Arial" w:hAnsi="Arial" w:cs="Arial"/>
            <w:noProof/>
            <w:sz w:val="22"/>
            <w:szCs w:val="22"/>
          </w:rPr>
          <w:t>10.1 Required Policies and Actions</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_Toc171791348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2</w:t>
        </w:r>
        <w:r w:rsidRPr="0040309F">
          <w:rPr>
            <w:rFonts w:ascii="Arial" w:hAnsi="Arial" w:cs="Arial"/>
            <w:noProof/>
            <w:webHidden/>
            <w:sz w:val="22"/>
            <w:szCs w:val="22"/>
          </w:rPr>
          <w:fldChar w:fldCharType="end"/>
        </w:r>
      </w:hyperlink>
    </w:p>
    <w:p w14:paraId="3384DE70" w14:textId="53A99B95"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49" w:history="1">
        <w:r w:rsidRPr="0040309F">
          <w:rPr>
            <w:rStyle w:val="Hyperlink"/>
            <w:rFonts w:ascii="Arial" w:hAnsi="Arial" w:cs="Arial"/>
            <w:noProof/>
            <w:sz w:val="22"/>
            <w:szCs w:val="22"/>
          </w:rPr>
          <w:t>10.1.1 Citizen Participation</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_Toc171791349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2</w:t>
        </w:r>
        <w:r w:rsidRPr="0040309F">
          <w:rPr>
            <w:rFonts w:ascii="Arial" w:hAnsi="Arial" w:cs="Arial"/>
            <w:noProof/>
            <w:webHidden/>
            <w:sz w:val="22"/>
            <w:szCs w:val="22"/>
          </w:rPr>
          <w:fldChar w:fldCharType="end"/>
        </w:r>
      </w:hyperlink>
    </w:p>
    <w:p w14:paraId="0B563A25" w14:textId="5E51D99F"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0" w:history="1">
        <w:r w:rsidRPr="0040309F">
          <w:rPr>
            <w:rStyle w:val="Hyperlink"/>
            <w:rFonts w:ascii="Arial" w:hAnsi="Arial" w:cs="Arial"/>
            <w:noProof/>
            <w:sz w:val="22"/>
            <w:szCs w:val="22"/>
          </w:rPr>
          <w:t>10.1.2 Non-Discrimination – Equal Opportunity (EO) Policy</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_Toc171791350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3</w:t>
        </w:r>
        <w:r w:rsidRPr="0040309F">
          <w:rPr>
            <w:rFonts w:ascii="Arial" w:hAnsi="Arial" w:cs="Arial"/>
            <w:noProof/>
            <w:webHidden/>
            <w:sz w:val="22"/>
            <w:szCs w:val="22"/>
          </w:rPr>
          <w:fldChar w:fldCharType="end"/>
        </w:r>
      </w:hyperlink>
    </w:p>
    <w:p w14:paraId="06014D8D" w14:textId="152BC2D2"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1" w:history="1">
        <w:r w:rsidRPr="0040309F">
          <w:rPr>
            <w:rStyle w:val="Hyperlink"/>
            <w:rFonts w:ascii="Arial" w:hAnsi="Arial" w:cs="Arial"/>
            <w:noProof/>
            <w:sz w:val="22"/>
            <w:szCs w:val="22"/>
          </w:rPr>
          <w:t>10.1.3 Affirmatively Furthering Fair Housing</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_Toc171791351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3</w:t>
        </w:r>
        <w:r w:rsidRPr="0040309F">
          <w:rPr>
            <w:rFonts w:ascii="Arial" w:hAnsi="Arial" w:cs="Arial"/>
            <w:noProof/>
            <w:webHidden/>
            <w:sz w:val="22"/>
            <w:szCs w:val="22"/>
          </w:rPr>
          <w:fldChar w:fldCharType="end"/>
        </w:r>
      </w:hyperlink>
    </w:p>
    <w:p w14:paraId="7B08BEDC" w14:textId="7767EFE0"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2" w:history="1">
        <w:r w:rsidRPr="0040309F">
          <w:rPr>
            <w:rStyle w:val="Hyperlink"/>
            <w:rFonts w:ascii="Arial" w:hAnsi="Arial" w:cs="Arial"/>
            <w:noProof/>
            <w:sz w:val="22"/>
            <w:szCs w:val="22"/>
          </w:rPr>
          <w:t>10.1.4 Section 504 Accessibility Policy</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_Toc171791352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5</w:t>
        </w:r>
        <w:r w:rsidRPr="0040309F">
          <w:rPr>
            <w:rFonts w:ascii="Arial" w:hAnsi="Arial" w:cs="Arial"/>
            <w:noProof/>
            <w:webHidden/>
            <w:sz w:val="22"/>
            <w:szCs w:val="22"/>
          </w:rPr>
          <w:fldChar w:fldCharType="end"/>
        </w:r>
      </w:hyperlink>
    </w:p>
    <w:p w14:paraId="198EF74F" w14:textId="4C406C72"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3" w:history="1">
        <w:r w:rsidRPr="0040309F">
          <w:rPr>
            <w:rStyle w:val="Hyperlink"/>
            <w:rFonts w:ascii="Arial" w:hAnsi="Arial" w:cs="Arial"/>
            <w:noProof/>
            <w:sz w:val="22"/>
            <w:szCs w:val="22"/>
          </w:rPr>
          <w:t>10.1.5 Limited English Proficiency Plan</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_Toc171791353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7</w:t>
        </w:r>
        <w:r w:rsidRPr="0040309F">
          <w:rPr>
            <w:rFonts w:ascii="Arial" w:hAnsi="Arial" w:cs="Arial"/>
            <w:noProof/>
            <w:webHidden/>
            <w:sz w:val="22"/>
            <w:szCs w:val="22"/>
          </w:rPr>
          <w:fldChar w:fldCharType="end"/>
        </w:r>
      </w:hyperlink>
    </w:p>
    <w:p w14:paraId="1CB24F11" w14:textId="01283C63"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4" w:history="1">
        <w:r w:rsidRPr="0040309F">
          <w:rPr>
            <w:rStyle w:val="Hyperlink"/>
            <w:rFonts w:ascii="Arial" w:hAnsi="Arial" w:cs="Arial"/>
            <w:noProof/>
            <w:sz w:val="22"/>
            <w:szCs w:val="22"/>
          </w:rPr>
          <w:t>10.1.6 Excessive Force Policy</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_Toc171791354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8</w:t>
        </w:r>
        <w:r w:rsidRPr="0040309F">
          <w:rPr>
            <w:rFonts w:ascii="Arial" w:hAnsi="Arial" w:cs="Arial"/>
            <w:noProof/>
            <w:webHidden/>
            <w:sz w:val="22"/>
            <w:szCs w:val="22"/>
          </w:rPr>
          <w:fldChar w:fldCharType="end"/>
        </w:r>
      </w:hyperlink>
    </w:p>
    <w:p w14:paraId="7F900FF2" w14:textId="21B7E483"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5" w:history="1">
        <w:r w:rsidRPr="0040309F">
          <w:rPr>
            <w:rStyle w:val="Hyperlink"/>
            <w:rFonts w:ascii="Arial" w:hAnsi="Arial" w:cs="Arial"/>
            <w:noProof/>
            <w:sz w:val="22"/>
            <w:szCs w:val="22"/>
          </w:rPr>
          <w:t>10.1.7 Disadvantaged Businesses</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_Toc171791355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9</w:t>
        </w:r>
        <w:r w:rsidRPr="0040309F">
          <w:rPr>
            <w:rFonts w:ascii="Arial" w:hAnsi="Arial" w:cs="Arial"/>
            <w:noProof/>
            <w:webHidden/>
            <w:sz w:val="22"/>
            <w:szCs w:val="22"/>
          </w:rPr>
          <w:fldChar w:fldCharType="end"/>
        </w:r>
      </w:hyperlink>
    </w:p>
    <w:p w14:paraId="54C0AFC6" w14:textId="5AED40EA"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6" w:history="1">
        <w:r w:rsidRPr="0040309F">
          <w:rPr>
            <w:rStyle w:val="Hyperlink"/>
            <w:rFonts w:ascii="Arial" w:hAnsi="Arial" w:cs="Arial"/>
            <w:noProof/>
            <w:sz w:val="22"/>
            <w:szCs w:val="22"/>
          </w:rPr>
          <w:t>10.1.8 Section 3 Economic Opportunities</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_Toc171791356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10</w:t>
        </w:r>
        <w:r w:rsidRPr="0040309F">
          <w:rPr>
            <w:rFonts w:ascii="Arial" w:hAnsi="Arial" w:cs="Arial"/>
            <w:noProof/>
            <w:webHidden/>
            <w:sz w:val="22"/>
            <w:szCs w:val="22"/>
          </w:rPr>
          <w:fldChar w:fldCharType="end"/>
        </w:r>
      </w:hyperlink>
    </w:p>
    <w:p w14:paraId="7F241851" w14:textId="1B730CA6"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7" w:history="1">
        <w:r w:rsidRPr="0040309F">
          <w:rPr>
            <w:rStyle w:val="Hyperlink"/>
            <w:rFonts w:ascii="Arial" w:hAnsi="Arial" w:cs="Arial"/>
            <w:noProof/>
            <w:sz w:val="22"/>
            <w:szCs w:val="22"/>
          </w:rPr>
          <w:t>10.1.9 VAWA Certification</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_Toc171791357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14</w:t>
        </w:r>
        <w:r w:rsidRPr="0040309F">
          <w:rPr>
            <w:rFonts w:ascii="Arial" w:hAnsi="Arial" w:cs="Arial"/>
            <w:noProof/>
            <w:webHidden/>
            <w:sz w:val="22"/>
            <w:szCs w:val="22"/>
          </w:rPr>
          <w:fldChar w:fldCharType="end"/>
        </w:r>
      </w:hyperlink>
    </w:p>
    <w:p w14:paraId="26C5D004" w14:textId="2C079BD0" w:rsidR="0040309F" w:rsidRPr="0040309F" w:rsidRDefault="0040309F">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1358" w:history="1">
        <w:r w:rsidRPr="0040309F">
          <w:rPr>
            <w:rStyle w:val="Hyperlink"/>
            <w:rFonts w:ascii="Arial" w:hAnsi="Arial" w:cs="Arial"/>
            <w:noProof/>
            <w:sz w:val="22"/>
            <w:szCs w:val="22"/>
          </w:rPr>
          <w:t>10.2 Recordkeeping</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_Toc171791358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14</w:t>
        </w:r>
        <w:r w:rsidRPr="0040309F">
          <w:rPr>
            <w:rFonts w:ascii="Arial" w:hAnsi="Arial" w:cs="Arial"/>
            <w:noProof/>
            <w:webHidden/>
            <w:sz w:val="22"/>
            <w:szCs w:val="22"/>
          </w:rPr>
          <w:fldChar w:fldCharType="end"/>
        </w:r>
      </w:hyperlink>
    </w:p>
    <w:p w14:paraId="0DC9F536" w14:textId="77DDD81D"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59" w:history="1">
        <w:r w:rsidRPr="0040309F">
          <w:rPr>
            <w:rStyle w:val="Hyperlink"/>
            <w:rFonts w:ascii="Arial" w:hAnsi="Arial" w:cs="Arial"/>
            <w:noProof/>
            <w:sz w:val="22"/>
            <w:szCs w:val="22"/>
          </w:rPr>
          <w:t>10.2.1 Civil Rights Officer</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_Toc171791359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14</w:t>
        </w:r>
        <w:r w:rsidRPr="0040309F">
          <w:rPr>
            <w:rFonts w:ascii="Arial" w:hAnsi="Arial" w:cs="Arial"/>
            <w:noProof/>
            <w:webHidden/>
            <w:sz w:val="22"/>
            <w:szCs w:val="22"/>
          </w:rPr>
          <w:fldChar w:fldCharType="end"/>
        </w:r>
      </w:hyperlink>
    </w:p>
    <w:p w14:paraId="17D0BE3C" w14:textId="44398E17"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60" w:history="1">
        <w:r w:rsidRPr="0040309F">
          <w:rPr>
            <w:rStyle w:val="Hyperlink"/>
            <w:rFonts w:ascii="Arial" w:hAnsi="Arial" w:cs="Arial"/>
            <w:noProof/>
            <w:sz w:val="22"/>
            <w:szCs w:val="22"/>
          </w:rPr>
          <w:t>10.2.2 Local Resolution</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_Toc171791360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14</w:t>
        </w:r>
        <w:r w:rsidRPr="0040309F">
          <w:rPr>
            <w:rFonts w:ascii="Arial" w:hAnsi="Arial" w:cs="Arial"/>
            <w:noProof/>
            <w:webHidden/>
            <w:sz w:val="22"/>
            <w:szCs w:val="22"/>
          </w:rPr>
          <w:fldChar w:fldCharType="end"/>
        </w:r>
      </w:hyperlink>
    </w:p>
    <w:p w14:paraId="3E1EBE51" w14:textId="0A19663B"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61" w:history="1">
        <w:r w:rsidRPr="0040309F">
          <w:rPr>
            <w:rStyle w:val="Hyperlink"/>
            <w:rFonts w:ascii="Arial" w:hAnsi="Arial" w:cs="Arial"/>
            <w:noProof/>
            <w:sz w:val="22"/>
            <w:szCs w:val="22"/>
          </w:rPr>
          <w:t>10.2.3 Public Notices</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_Toc171791361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15</w:t>
        </w:r>
        <w:r w:rsidRPr="0040309F">
          <w:rPr>
            <w:rFonts w:ascii="Arial" w:hAnsi="Arial" w:cs="Arial"/>
            <w:noProof/>
            <w:webHidden/>
            <w:sz w:val="22"/>
            <w:szCs w:val="22"/>
          </w:rPr>
          <w:fldChar w:fldCharType="end"/>
        </w:r>
      </w:hyperlink>
    </w:p>
    <w:p w14:paraId="3C77FDF2" w14:textId="57F4323E" w:rsidR="0040309F" w:rsidRPr="0040309F" w:rsidRDefault="0040309F">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1362" w:history="1">
        <w:r w:rsidRPr="0040309F">
          <w:rPr>
            <w:rStyle w:val="Hyperlink"/>
            <w:rFonts w:ascii="Arial" w:hAnsi="Arial" w:cs="Arial"/>
            <w:noProof/>
            <w:sz w:val="22"/>
            <w:szCs w:val="22"/>
          </w:rPr>
          <w:t>10.3 Monitoring of Discrimination</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_Toc171791362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16</w:t>
        </w:r>
        <w:r w:rsidRPr="0040309F">
          <w:rPr>
            <w:rFonts w:ascii="Arial" w:hAnsi="Arial" w:cs="Arial"/>
            <w:noProof/>
            <w:webHidden/>
            <w:sz w:val="22"/>
            <w:szCs w:val="22"/>
          </w:rPr>
          <w:fldChar w:fldCharType="end"/>
        </w:r>
      </w:hyperlink>
    </w:p>
    <w:p w14:paraId="6256028E" w14:textId="78F9AEF3" w:rsidR="0040309F" w:rsidRPr="0040309F" w:rsidRDefault="0040309F">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363" w:history="1">
        <w:r w:rsidRPr="0040309F">
          <w:rPr>
            <w:rStyle w:val="Hyperlink"/>
            <w:rFonts w:ascii="Arial" w:hAnsi="Arial" w:cs="Arial"/>
            <w:noProof/>
            <w:sz w:val="22"/>
            <w:szCs w:val="22"/>
          </w:rPr>
          <w:t>Resources</w:t>
        </w:r>
        <w:r w:rsidRPr="0040309F">
          <w:rPr>
            <w:rFonts w:ascii="Arial" w:hAnsi="Arial" w:cs="Arial"/>
            <w:noProof/>
            <w:webHidden/>
            <w:sz w:val="22"/>
            <w:szCs w:val="22"/>
          </w:rPr>
          <w:tab/>
        </w:r>
        <w:r w:rsidRPr="0040309F">
          <w:rPr>
            <w:rFonts w:ascii="Arial" w:hAnsi="Arial" w:cs="Arial"/>
            <w:noProof/>
            <w:webHidden/>
            <w:sz w:val="22"/>
            <w:szCs w:val="22"/>
          </w:rPr>
          <w:fldChar w:fldCharType="begin"/>
        </w:r>
        <w:r w:rsidRPr="0040309F">
          <w:rPr>
            <w:rFonts w:ascii="Arial" w:hAnsi="Arial" w:cs="Arial"/>
            <w:noProof/>
            <w:webHidden/>
            <w:sz w:val="22"/>
            <w:szCs w:val="22"/>
          </w:rPr>
          <w:instrText xml:space="preserve"> PAGEREF _Toc171791363 \h </w:instrText>
        </w:r>
        <w:r w:rsidRPr="0040309F">
          <w:rPr>
            <w:rFonts w:ascii="Arial" w:hAnsi="Arial" w:cs="Arial"/>
            <w:noProof/>
            <w:webHidden/>
            <w:sz w:val="22"/>
            <w:szCs w:val="22"/>
          </w:rPr>
        </w:r>
        <w:r w:rsidRPr="0040309F">
          <w:rPr>
            <w:rFonts w:ascii="Arial" w:hAnsi="Arial" w:cs="Arial"/>
            <w:noProof/>
            <w:webHidden/>
            <w:sz w:val="22"/>
            <w:szCs w:val="22"/>
          </w:rPr>
          <w:fldChar w:fldCharType="separate"/>
        </w:r>
        <w:r w:rsidRPr="0040309F">
          <w:rPr>
            <w:rFonts w:ascii="Arial" w:hAnsi="Arial" w:cs="Arial"/>
            <w:noProof/>
            <w:webHidden/>
            <w:sz w:val="22"/>
            <w:szCs w:val="22"/>
          </w:rPr>
          <w:t>16</w:t>
        </w:r>
        <w:r w:rsidRPr="0040309F">
          <w:rPr>
            <w:rFonts w:ascii="Arial" w:hAnsi="Arial" w:cs="Arial"/>
            <w:noProof/>
            <w:webHidden/>
            <w:sz w:val="22"/>
            <w:szCs w:val="22"/>
          </w:rPr>
          <w:fldChar w:fldCharType="end"/>
        </w:r>
      </w:hyperlink>
    </w:p>
    <w:p w14:paraId="0C61813A" w14:textId="18ACF308" w:rsidR="005D6640" w:rsidRPr="00597D53" w:rsidRDefault="00597D53" w:rsidP="00597D53">
      <w:pPr>
        <w:rPr>
          <w:rFonts w:cs="Arial"/>
          <w:b/>
          <w:szCs w:val="22"/>
        </w:rPr>
      </w:pPr>
      <w:r w:rsidRPr="0040309F">
        <w:rPr>
          <w:rFonts w:cs="Arial"/>
          <w:b/>
          <w:bCs/>
          <w:caps/>
          <w:szCs w:val="22"/>
        </w:rPr>
        <w:fldChar w:fldCharType="end"/>
      </w:r>
      <w:r w:rsidR="005D6640" w:rsidRPr="00597D53">
        <w:rPr>
          <w:rFonts w:cs="Arial"/>
          <w:szCs w:val="22"/>
        </w:rPr>
        <w:br w:type="page"/>
      </w:r>
    </w:p>
    <w:p w14:paraId="2A2CA5F6" w14:textId="77777777" w:rsidR="00F546E7" w:rsidRPr="002865FD" w:rsidRDefault="00F546E7" w:rsidP="00FD015E">
      <w:pPr>
        <w:pStyle w:val="ChapterTitleCenArial26"/>
        <w:rPr>
          <w:sz w:val="48"/>
          <w:szCs w:val="48"/>
        </w:rPr>
      </w:pPr>
      <w:r w:rsidRPr="002865FD">
        <w:rPr>
          <w:sz w:val="48"/>
          <w:szCs w:val="48"/>
        </w:rPr>
        <w:lastRenderedPageBreak/>
        <w:t>CHAPTER 10</w:t>
      </w:r>
    </w:p>
    <w:p w14:paraId="0DE79C12" w14:textId="77777777" w:rsidR="00F546E7" w:rsidRPr="002865FD" w:rsidRDefault="00F546E7" w:rsidP="00FD015E">
      <w:pPr>
        <w:pStyle w:val="ChapterTitleCenArial26"/>
        <w:rPr>
          <w:sz w:val="48"/>
          <w:szCs w:val="48"/>
        </w:rPr>
      </w:pPr>
      <w:r w:rsidRPr="002865FD">
        <w:rPr>
          <w:sz w:val="48"/>
          <w:szCs w:val="48"/>
        </w:rPr>
        <w:t>CIVIL RIGHTS AND RELATED REQUIREMENTS</w:t>
      </w:r>
    </w:p>
    <w:p w14:paraId="0B880F72" w14:textId="237DD665" w:rsidR="006E6D46" w:rsidRDefault="006E6D46" w:rsidP="00FD015E">
      <w:pPr>
        <w:jc w:val="center"/>
      </w:pPr>
    </w:p>
    <w:p w14:paraId="2D96B942" w14:textId="5ED3DE14" w:rsidR="00335440" w:rsidRDefault="00335440" w:rsidP="00FD015E">
      <w:pPr>
        <w:pStyle w:val="Heading1"/>
      </w:pPr>
      <w:bookmarkStart w:id="0" w:name="_Toc123116587"/>
      <w:bookmarkStart w:id="1" w:name="_Toc171791347"/>
      <w:r>
        <w:t>10.0 Introduction</w:t>
      </w:r>
      <w:bookmarkEnd w:id="0"/>
      <w:bookmarkEnd w:id="1"/>
    </w:p>
    <w:p w14:paraId="26204A94" w14:textId="77777777" w:rsidR="00AA21C8" w:rsidRPr="00E06233" w:rsidRDefault="00AA21C8" w:rsidP="00FD015E"/>
    <w:p w14:paraId="7DC54E05" w14:textId="77777777" w:rsidR="006E6D46" w:rsidRPr="00E06233" w:rsidRDefault="006E6D46" w:rsidP="00FD015E">
      <w:pPr>
        <w:pStyle w:val="CDGBBODYSTYLE"/>
        <w:spacing w:line="240" w:lineRule="auto"/>
        <w:jc w:val="left"/>
      </w:pPr>
      <w:r w:rsidRPr="00E06233">
        <w:t xml:space="preserve">All grantees of Texas Community Development Block Grant (TxCDBG) funds are required to demonstrate compliance with all state and federal requirements to ensure equal opportunity and access to all benefits derived from the TxCDBG Program. </w:t>
      </w:r>
    </w:p>
    <w:p w14:paraId="154F0C35" w14:textId="77777777" w:rsidR="006E6D46" w:rsidRPr="00E06233" w:rsidRDefault="006E6D46" w:rsidP="00FD015E">
      <w:pPr>
        <w:rPr>
          <w:rFonts w:cs="Arial"/>
          <w:szCs w:val="22"/>
        </w:rPr>
      </w:pPr>
    </w:p>
    <w:p w14:paraId="1494006F" w14:textId="4753B5E8" w:rsidR="006E6D46" w:rsidRPr="00E06233" w:rsidRDefault="006E6D46" w:rsidP="00FD015E">
      <w:pPr>
        <w:rPr>
          <w:szCs w:val="22"/>
        </w:rPr>
      </w:pPr>
      <w:r w:rsidRPr="00E06233">
        <w:rPr>
          <w:rFonts w:cs="Arial"/>
          <w:szCs w:val="22"/>
        </w:rPr>
        <w:t>These state and federal requirements include</w:t>
      </w:r>
      <w:r w:rsidR="00335440">
        <w:rPr>
          <w:rFonts w:cs="Arial"/>
          <w:szCs w:val="22"/>
        </w:rPr>
        <w:t>:</w:t>
      </w:r>
    </w:p>
    <w:p w14:paraId="0CE15820" w14:textId="4B397338" w:rsidR="006E6D46" w:rsidRPr="00E06233" w:rsidRDefault="00335440" w:rsidP="0028218E">
      <w:pPr>
        <w:pStyle w:val="CDGBBullets-1stindent"/>
        <w:numPr>
          <w:ilvl w:val="0"/>
          <w:numId w:val="18"/>
        </w:numPr>
        <w:spacing w:line="240" w:lineRule="auto"/>
      </w:pPr>
      <w:r>
        <w:t>T</w:t>
      </w:r>
      <w:r w:rsidR="006E6D46" w:rsidRPr="00E06233">
        <w:t xml:space="preserve">aking steps to ensure that equal opportunities are afforded to all persons and that no person shall be excluded or denied program benefits on the basis of race, color, religion, sex, national origin, age, and/or </w:t>
      </w:r>
      <w:proofErr w:type="gramStart"/>
      <w:r w:rsidR="006E6D46" w:rsidRPr="00E06233">
        <w:t>disability;</w:t>
      </w:r>
      <w:proofErr w:type="gramEnd"/>
    </w:p>
    <w:p w14:paraId="3BFE8723" w14:textId="76060BEC" w:rsidR="006E6D46" w:rsidRPr="00E06233" w:rsidRDefault="00335440" w:rsidP="0028218E">
      <w:pPr>
        <w:pStyle w:val="CDGBBullets-1stindent"/>
        <w:numPr>
          <w:ilvl w:val="0"/>
          <w:numId w:val="18"/>
        </w:numPr>
        <w:spacing w:line="240" w:lineRule="auto"/>
      </w:pPr>
      <w:r>
        <w:t>T</w:t>
      </w:r>
      <w:r w:rsidR="006E6D46" w:rsidRPr="00E06233">
        <w:t xml:space="preserve">aking steps to provide opportunities, to the greatest extent feasible, to low- and very low-income (Section 3) residents and businesses in employment, training, and contracting for construction </w:t>
      </w:r>
      <w:proofErr w:type="gramStart"/>
      <w:r w:rsidR="006E6D46" w:rsidRPr="00E06233">
        <w:t>contracts;</w:t>
      </w:r>
      <w:proofErr w:type="gramEnd"/>
    </w:p>
    <w:p w14:paraId="2E931671" w14:textId="6104621B" w:rsidR="006E6D46" w:rsidRPr="00E06233" w:rsidRDefault="00335440" w:rsidP="0028218E">
      <w:pPr>
        <w:pStyle w:val="CDGBBullets-1stindent"/>
        <w:numPr>
          <w:ilvl w:val="0"/>
          <w:numId w:val="18"/>
        </w:numPr>
        <w:spacing w:line="240" w:lineRule="auto"/>
        <w:ind w:right="-180"/>
      </w:pPr>
      <w:r>
        <w:t>T</w:t>
      </w:r>
      <w:r w:rsidR="006E6D46" w:rsidRPr="00E06233">
        <w:t xml:space="preserve">aking affirmative steps to assure minority, small business, and women-owned businesses are informed of grant funded </w:t>
      </w:r>
      <w:proofErr w:type="gramStart"/>
      <w:r w:rsidR="006E6D46" w:rsidRPr="00E06233">
        <w:t>contracts;</w:t>
      </w:r>
      <w:proofErr w:type="gramEnd"/>
      <w:r w:rsidR="006E6D46" w:rsidRPr="00E06233">
        <w:t xml:space="preserve"> </w:t>
      </w:r>
    </w:p>
    <w:p w14:paraId="5BD0C6E3" w14:textId="00348BF1" w:rsidR="006E6D46" w:rsidRPr="00E06233" w:rsidRDefault="00335440" w:rsidP="0028218E">
      <w:pPr>
        <w:pStyle w:val="CDGBBullets-1stindent"/>
        <w:numPr>
          <w:ilvl w:val="0"/>
          <w:numId w:val="18"/>
        </w:numPr>
        <w:spacing w:line="240" w:lineRule="auto"/>
      </w:pPr>
      <w:r>
        <w:t>P</w:t>
      </w:r>
      <w:r w:rsidR="006E6D46" w:rsidRPr="00E06233">
        <w:t xml:space="preserve">rohibiting the use of excessive force against individuals engaged in non-violent civil rights </w:t>
      </w:r>
      <w:proofErr w:type="gramStart"/>
      <w:r w:rsidR="006E6D46" w:rsidRPr="00E06233">
        <w:t>demonstrations;</w:t>
      </w:r>
      <w:proofErr w:type="gramEnd"/>
    </w:p>
    <w:p w14:paraId="736AEA7F" w14:textId="7AE93FC4" w:rsidR="006E6D46" w:rsidRPr="00E06233" w:rsidRDefault="00335440" w:rsidP="0028218E">
      <w:pPr>
        <w:pStyle w:val="CDGBBullets-1stindent"/>
        <w:numPr>
          <w:ilvl w:val="0"/>
          <w:numId w:val="18"/>
        </w:numPr>
        <w:spacing w:line="240" w:lineRule="auto"/>
      </w:pPr>
      <w:r>
        <w:t>T</w:t>
      </w:r>
      <w:r w:rsidR="006E6D46" w:rsidRPr="00E06233">
        <w:t>aking steps to Affirmatively Further Fair Housing (AFFH); and</w:t>
      </w:r>
    </w:p>
    <w:p w14:paraId="67B309E3" w14:textId="61402A47" w:rsidR="006E6D46" w:rsidRPr="00E06233" w:rsidRDefault="00335440" w:rsidP="0028218E">
      <w:pPr>
        <w:pStyle w:val="CDGBBullets-1stindent"/>
        <w:numPr>
          <w:ilvl w:val="0"/>
          <w:numId w:val="18"/>
        </w:numPr>
        <w:spacing w:line="240" w:lineRule="auto"/>
        <w:ind w:right="-450"/>
      </w:pPr>
      <w:r>
        <w:t>T</w:t>
      </w:r>
      <w:r w:rsidR="006E6D46" w:rsidRPr="00E06233">
        <w:t>aking steps to assure meaningful access for persons with Limited English Proficiency (LEP).</w:t>
      </w:r>
    </w:p>
    <w:p w14:paraId="7D0C738F" w14:textId="68B7EBC1" w:rsidR="00E27650" w:rsidRDefault="00E27650" w:rsidP="00FD015E">
      <w:pPr>
        <w:pStyle w:val="CDGBBullets-1stindent"/>
        <w:numPr>
          <w:ilvl w:val="0"/>
          <w:numId w:val="0"/>
        </w:numPr>
        <w:spacing w:line="240" w:lineRule="auto"/>
        <w:ind w:left="720" w:right="90"/>
      </w:pPr>
    </w:p>
    <w:p w14:paraId="2AE63ECD" w14:textId="3CA8CA9A" w:rsidR="00E27650" w:rsidRPr="00E06233" w:rsidRDefault="00E27650" w:rsidP="00FD015E">
      <w:pPr>
        <w:pStyle w:val="CDGBBODYSTYLE"/>
        <w:spacing w:line="240" w:lineRule="auto"/>
        <w:jc w:val="left"/>
      </w:pPr>
      <w:r w:rsidRPr="00E06233">
        <w:t xml:space="preserve">Be diligent and consistent in implementing the project’s civil rights responsibilities and be ready to explain to local citizens the purpose and importance of the civil rights laws and requirements. </w:t>
      </w:r>
      <w:r w:rsidR="0052660E">
        <w:t xml:space="preserve">Collect </w:t>
      </w:r>
      <w:r w:rsidR="00366677">
        <w:t>a</w:t>
      </w:r>
      <w:r w:rsidR="00366677" w:rsidRPr="00E06233">
        <w:t>ll</w:t>
      </w:r>
      <w:r w:rsidR="0052660E" w:rsidRPr="00E06233">
        <w:t xml:space="preserve"> handbooks, policies and procedures manuals, and resolutions or ordinances regarding equal opportunity, as well as a review of any past cases alleging discrimination against the Grant Recipient</w:t>
      </w:r>
      <w:r w:rsidR="0052660E">
        <w:t xml:space="preserve">, </w:t>
      </w:r>
      <w:proofErr w:type="gramStart"/>
      <w:r w:rsidR="0052660E">
        <w:t>in order to</w:t>
      </w:r>
      <w:proofErr w:type="gramEnd"/>
      <w:r w:rsidR="0052660E">
        <w:t xml:space="preserve"> develop clear policies and procedures that effectively provide civil right</w:t>
      </w:r>
      <w:r w:rsidR="00586E2C">
        <w:t>s.</w:t>
      </w:r>
    </w:p>
    <w:p w14:paraId="76F52C1E" w14:textId="08A850CF" w:rsidR="00536716" w:rsidRDefault="00536716" w:rsidP="00FD015E"/>
    <w:p w14:paraId="3C30B7E4" w14:textId="77777777" w:rsidR="000D73BA" w:rsidRDefault="000D73BA" w:rsidP="00FD015E"/>
    <w:p w14:paraId="6AA717E8" w14:textId="6DC99438" w:rsidR="00F270EC" w:rsidRPr="00366677" w:rsidRDefault="00F270EC" w:rsidP="00FD015E">
      <w:pPr>
        <w:pStyle w:val="Heading1"/>
      </w:pPr>
      <w:bookmarkStart w:id="2" w:name="_Toc123116588"/>
      <w:bookmarkStart w:id="3" w:name="_Toc171791348"/>
      <w:r w:rsidRPr="00366677">
        <w:t>10.1 Required Policies and Actions</w:t>
      </w:r>
      <w:bookmarkEnd w:id="2"/>
      <w:bookmarkEnd w:id="3"/>
    </w:p>
    <w:p w14:paraId="69481091" w14:textId="77777777" w:rsidR="00167A80" w:rsidRPr="00366677" w:rsidRDefault="00167A80" w:rsidP="00FD015E"/>
    <w:p w14:paraId="653893B3" w14:textId="17C921F5" w:rsidR="0006107E" w:rsidRDefault="004E3353" w:rsidP="00FD015E">
      <w:pPr>
        <w:pStyle w:val="Heading2"/>
      </w:pPr>
      <w:bookmarkStart w:id="4" w:name="_Toc123116589"/>
      <w:bookmarkStart w:id="5" w:name="_Toc171791349"/>
      <w:r>
        <w:t>10.1</w:t>
      </w:r>
      <w:r w:rsidR="00F270EC">
        <w:t>.1</w:t>
      </w:r>
      <w:r>
        <w:t xml:space="preserve"> Citizen Participation</w:t>
      </w:r>
      <w:bookmarkEnd w:id="4"/>
      <w:bookmarkEnd w:id="5"/>
    </w:p>
    <w:p w14:paraId="169EA668" w14:textId="2B62A5BD" w:rsidR="00F827F7" w:rsidRDefault="00F827F7" w:rsidP="00FD015E">
      <w:pPr>
        <w:pStyle w:val="CDGBBODYSTYLE"/>
        <w:spacing w:line="240" w:lineRule="auto"/>
        <w:jc w:val="left"/>
      </w:pPr>
      <w:r>
        <w:t xml:space="preserve">A critical element of the TxCDBG program is the involvement of the community in selecting grant projects and understanding its impact on the community. </w:t>
      </w:r>
      <w:r w:rsidRPr="00E06233">
        <w:t>Grant Recipients must provide for and encourage citizen participation—especially by low- and moderately low-income persons who live in blighted or slum areas or areas served by the TxCDBG grant.</w:t>
      </w:r>
      <w:r w:rsidR="00335440">
        <w:rPr>
          <w:rStyle w:val="FootnoteReference"/>
        </w:rPr>
        <w:footnoteReference w:id="1"/>
      </w:r>
      <w:r w:rsidR="0006583E">
        <w:t xml:space="preserve"> </w:t>
      </w:r>
    </w:p>
    <w:p w14:paraId="3EECF7E7" w14:textId="02BEF301" w:rsidR="00E265DC" w:rsidRPr="000D73BA" w:rsidRDefault="00E265DC" w:rsidP="0028218E">
      <w:pPr>
        <w:pStyle w:val="CDGBBullets-1stindent"/>
        <w:numPr>
          <w:ilvl w:val="0"/>
          <w:numId w:val="19"/>
        </w:numPr>
        <w:spacing w:line="240" w:lineRule="auto"/>
        <w:ind w:left="720"/>
      </w:pPr>
      <w:r w:rsidRPr="000D73BA">
        <w:t xml:space="preserve">Grant Recipients must </w:t>
      </w:r>
      <w:r w:rsidR="00326D09" w:rsidRPr="000D73BA">
        <w:t>publish</w:t>
      </w:r>
      <w:r w:rsidRPr="000D73BA">
        <w:t xml:space="preserve"> a Citizen Participation Plan</w:t>
      </w:r>
      <w:r w:rsidR="00326D09" w:rsidRPr="000D73BA">
        <w:t xml:space="preserve">, </w:t>
      </w:r>
      <w:r w:rsidRPr="000D73BA">
        <w:t>includ</w:t>
      </w:r>
      <w:r w:rsidR="00326D09" w:rsidRPr="000D73BA">
        <w:t>ing</w:t>
      </w:r>
      <w:r w:rsidRPr="000D73BA">
        <w:t xml:space="preserve"> methods for encouraging citizen participation as well as complaint procedures. </w:t>
      </w:r>
    </w:p>
    <w:p w14:paraId="3A31624A" w14:textId="10863B5A" w:rsidR="00F827F7" w:rsidRPr="000D73BA" w:rsidRDefault="00E265DC" w:rsidP="0028218E">
      <w:pPr>
        <w:pStyle w:val="CDGBBullets-1stindent"/>
        <w:numPr>
          <w:ilvl w:val="0"/>
          <w:numId w:val="19"/>
        </w:numPr>
        <w:spacing w:line="240" w:lineRule="auto"/>
        <w:ind w:left="720"/>
      </w:pPr>
      <w:r w:rsidRPr="000D73BA">
        <w:t xml:space="preserve">Public hearings are </w:t>
      </w:r>
      <w:r w:rsidR="00326D09" w:rsidRPr="000D73BA">
        <w:t xml:space="preserve">a required method of citizen participation </w:t>
      </w:r>
      <w:r w:rsidRPr="000D73BA">
        <w:t>for</w:t>
      </w:r>
      <w:r w:rsidR="00F827F7" w:rsidRPr="000D73BA">
        <w:t xml:space="preserve"> any substantial change requested to a CDBG-funded project</w:t>
      </w:r>
      <w:r w:rsidRPr="000D73BA">
        <w:t>, and after the project is complete.  R</w:t>
      </w:r>
      <w:r w:rsidR="00F827F7" w:rsidRPr="000D73BA">
        <w:rPr>
          <w:rFonts w:eastAsiaTheme="minorEastAsia"/>
        </w:rPr>
        <w:t xml:space="preserve">easonable advance notice of and </w:t>
      </w:r>
      <w:proofErr w:type="gramStart"/>
      <w:r w:rsidR="00F827F7" w:rsidRPr="000D73BA">
        <w:rPr>
          <w:rFonts w:eastAsiaTheme="minorEastAsia"/>
        </w:rPr>
        <w:t>opportunity</w:t>
      </w:r>
      <w:proofErr w:type="gramEnd"/>
      <w:r w:rsidR="00F827F7" w:rsidRPr="000D73BA">
        <w:rPr>
          <w:rFonts w:eastAsiaTheme="minorEastAsia"/>
        </w:rPr>
        <w:t xml:space="preserve"> t</w:t>
      </w:r>
      <w:r w:rsidR="00F827F7" w:rsidRPr="000D73BA">
        <w:t>o comment on the proposed change</w:t>
      </w:r>
      <w:r w:rsidR="00326D09" w:rsidRPr="000D73BA">
        <w:t xml:space="preserve"> must be provided</w:t>
      </w:r>
      <w:r w:rsidR="00335440">
        <w:t>, s</w:t>
      </w:r>
      <w:r w:rsidRPr="000D73BA">
        <w:t xml:space="preserve">ee </w:t>
      </w:r>
      <w:r w:rsidRPr="000D73BA">
        <w:rPr>
          <w:i/>
          <w:iCs/>
        </w:rPr>
        <w:t>Chapter 1</w:t>
      </w:r>
      <w:r w:rsidR="00335440">
        <w:rPr>
          <w:i/>
          <w:iCs/>
        </w:rPr>
        <w:t xml:space="preserve"> Administration and Reporting</w:t>
      </w:r>
      <w:r w:rsidRPr="000D73BA">
        <w:t xml:space="preserve"> for details.</w:t>
      </w:r>
    </w:p>
    <w:p w14:paraId="177B02BF" w14:textId="0C3073AA" w:rsidR="004E3353" w:rsidRPr="000D73BA" w:rsidRDefault="00326D09" w:rsidP="0028218E">
      <w:pPr>
        <w:pStyle w:val="CDGBBullets-1stindent"/>
        <w:numPr>
          <w:ilvl w:val="0"/>
          <w:numId w:val="19"/>
        </w:numPr>
        <w:spacing w:line="240" w:lineRule="auto"/>
        <w:ind w:left="720"/>
      </w:pPr>
      <w:r w:rsidRPr="000D73BA">
        <w:t>Grant</w:t>
      </w:r>
      <w:r w:rsidR="00E265DC" w:rsidRPr="000D73BA">
        <w:t xml:space="preserve"> Recipients must d</w:t>
      </w:r>
      <w:r w:rsidR="004E3353" w:rsidRPr="000D73BA">
        <w:t xml:space="preserve">evelop </w:t>
      </w:r>
      <w:r w:rsidRPr="000D73BA">
        <w:t>complaint</w:t>
      </w:r>
      <w:r w:rsidR="004E3353" w:rsidRPr="000D73BA">
        <w:t xml:space="preserve"> procedures for citizens to submit complaints and grievances that include a timely written response to complaints—within </w:t>
      </w:r>
      <w:r w:rsidR="00F82046">
        <w:t>fifteen (</w:t>
      </w:r>
      <w:r w:rsidR="004E3353" w:rsidRPr="000D73BA">
        <w:t>15</w:t>
      </w:r>
      <w:r w:rsidR="00F82046">
        <w:t>)</w:t>
      </w:r>
      <w:r w:rsidR="004E3353" w:rsidRPr="000D73BA">
        <w:t xml:space="preserve"> days where practicable. Provide citizens with the address, phone number and times for submitting complaints and grievances, and provide timely written answers to written complaints and grievances.</w:t>
      </w:r>
      <w:r w:rsidR="00335440">
        <w:rPr>
          <w:rStyle w:val="FootnoteReference"/>
        </w:rPr>
        <w:footnoteReference w:id="2"/>
      </w:r>
      <w:r w:rsidR="004E3353" w:rsidRPr="000D73BA">
        <w:t xml:space="preserve"> </w:t>
      </w:r>
    </w:p>
    <w:p w14:paraId="7E2C18F5" w14:textId="77777777" w:rsidR="00B6556A" w:rsidRPr="00E06233" w:rsidRDefault="00B6556A" w:rsidP="00FD015E">
      <w:pPr>
        <w:pStyle w:val="CDGBBullets-1stindent"/>
        <w:numPr>
          <w:ilvl w:val="0"/>
          <w:numId w:val="0"/>
        </w:numPr>
        <w:spacing w:line="240" w:lineRule="auto"/>
        <w:ind w:left="720"/>
      </w:pPr>
    </w:p>
    <w:p w14:paraId="7CC65C52" w14:textId="321BEE26" w:rsidR="00B6556A" w:rsidRDefault="00B6556A" w:rsidP="00FD015E">
      <w:pPr>
        <w:pStyle w:val="CDGBBODYSTYLE"/>
        <w:spacing w:line="240" w:lineRule="auto"/>
        <w:jc w:val="left"/>
      </w:pPr>
      <w:r w:rsidRPr="00E06233">
        <w:t>For a detailed discussion of citizen participation requirements, see TxCDBG Application Guide</w:t>
      </w:r>
      <w:r w:rsidR="00326D09">
        <w:t xml:space="preserve">, </w:t>
      </w:r>
      <w:r w:rsidR="00335440" w:rsidRPr="00E06233">
        <w:rPr>
          <w:i/>
        </w:rPr>
        <w:t>Sample Citizen Participation Plan</w:t>
      </w:r>
      <w:r w:rsidR="00335440" w:rsidRPr="00E06233">
        <w:t xml:space="preserve"> (</w:t>
      </w:r>
      <w:r w:rsidR="00335440" w:rsidRPr="00E06233">
        <w:rPr>
          <w:b/>
        </w:rPr>
        <w:t>Form A1013</w:t>
      </w:r>
      <w:r w:rsidR="00335440" w:rsidRPr="00E06233">
        <w:t>)</w:t>
      </w:r>
      <w:r w:rsidR="00335440">
        <w:t xml:space="preserve">, and </w:t>
      </w:r>
      <w:r w:rsidR="00326D09" w:rsidRPr="00E06233">
        <w:rPr>
          <w:i/>
        </w:rPr>
        <w:t>Sample Resolution Regarding Civil Rights</w:t>
      </w:r>
      <w:r w:rsidR="00326D09" w:rsidRPr="00E06233">
        <w:t xml:space="preserve"> (</w:t>
      </w:r>
      <w:r w:rsidR="00326D09" w:rsidRPr="00E06233">
        <w:rPr>
          <w:b/>
        </w:rPr>
        <w:t>Form A1014)</w:t>
      </w:r>
      <w:r w:rsidR="00335440">
        <w:t>.</w:t>
      </w:r>
      <w:r w:rsidR="000646DE">
        <w:t xml:space="preserve"> </w:t>
      </w:r>
    </w:p>
    <w:p w14:paraId="3593D626" w14:textId="77777777" w:rsidR="00B6556A" w:rsidRPr="00E06233" w:rsidRDefault="00B6556A" w:rsidP="00FD015E"/>
    <w:p w14:paraId="49FB8D2D" w14:textId="12C48286" w:rsidR="004E3353" w:rsidRDefault="004E3353" w:rsidP="00FD015E">
      <w:pPr>
        <w:pStyle w:val="Heading2"/>
      </w:pPr>
      <w:bookmarkStart w:id="6" w:name="_Toc123116590"/>
      <w:bookmarkStart w:id="7" w:name="_Toc171791350"/>
      <w:r>
        <w:t>10.</w:t>
      </w:r>
      <w:r w:rsidR="00F270EC">
        <w:t>1.</w:t>
      </w:r>
      <w:r>
        <w:t xml:space="preserve">2 Non-Discrimination – Equal Opportunity </w:t>
      </w:r>
      <w:r w:rsidR="000646DE">
        <w:t xml:space="preserve">(EO) </w:t>
      </w:r>
      <w:r>
        <w:t>Policy</w:t>
      </w:r>
      <w:bookmarkEnd w:id="6"/>
      <w:bookmarkEnd w:id="7"/>
    </w:p>
    <w:p w14:paraId="02BAFC66" w14:textId="77777777" w:rsidR="00326D09" w:rsidRDefault="00326D09" w:rsidP="00FD015E">
      <w:pPr>
        <w:pStyle w:val="CDGBBODYSTYLE"/>
        <w:spacing w:line="240" w:lineRule="auto"/>
        <w:jc w:val="left"/>
      </w:pPr>
    </w:p>
    <w:p w14:paraId="06E2F995" w14:textId="69CAB8C0" w:rsidR="00326D09" w:rsidRPr="000D73BA" w:rsidRDefault="00326D09" w:rsidP="00FD015E">
      <w:pPr>
        <w:pStyle w:val="CDGBBODYSTYLE"/>
        <w:spacing w:line="240" w:lineRule="auto"/>
        <w:jc w:val="left"/>
      </w:pPr>
      <w:r w:rsidRPr="000D73BA">
        <w:t>Grant Recipients must take actions to ensure that no person or group is denied benefits such as employment, training, housing, and contracts generated by the local CDBG activity on the basis of race, color, religion, sex, national origin, age, or disability.</w:t>
      </w:r>
      <w:r w:rsidR="00335440">
        <w:rPr>
          <w:rStyle w:val="FootnoteReference"/>
        </w:rPr>
        <w:footnoteReference w:id="3"/>
      </w:r>
      <w:r w:rsidR="00335440">
        <w:rPr>
          <w:rStyle w:val="FootnoteReference"/>
        </w:rPr>
        <w:footnoteReference w:id="4"/>
      </w:r>
      <w:r w:rsidR="00335440">
        <w:rPr>
          <w:rStyle w:val="FootnoteReference"/>
        </w:rPr>
        <w:footnoteReference w:id="5"/>
      </w:r>
      <w:r w:rsidRPr="000D73BA">
        <w:t xml:space="preserve"> For federally-assisted construction projects greater than $10,000, contractors may not discriminate against any employee or applicant for employment because of race, color, religion, sex, sexual orientation, gender identity, or national origin.</w:t>
      </w:r>
      <w:r w:rsidR="00335440">
        <w:rPr>
          <w:rStyle w:val="FootnoteReference"/>
        </w:rPr>
        <w:footnoteReference w:id="6"/>
      </w:r>
      <w:r w:rsidR="000D73BA">
        <w:t xml:space="preserve"> </w:t>
      </w:r>
    </w:p>
    <w:p w14:paraId="6ACAF341" w14:textId="71CC1385" w:rsidR="00326D09" w:rsidRDefault="00326D09" w:rsidP="00FD015E">
      <w:pPr>
        <w:pStyle w:val="CDGBBullets-1stindent"/>
        <w:numPr>
          <w:ilvl w:val="0"/>
          <w:numId w:val="0"/>
        </w:numPr>
        <w:spacing w:line="240" w:lineRule="auto"/>
      </w:pPr>
    </w:p>
    <w:p w14:paraId="3D15D9CA" w14:textId="663585DE" w:rsidR="006C56CE" w:rsidRDefault="006C56CE" w:rsidP="00FD015E">
      <w:pPr>
        <w:pStyle w:val="CDGBBODYSTYLE"/>
        <w:spacing w:line="240" w:lineRule="auto"/>
        <w:jc w:val="left"/>
      </w:pPr>
      <w:r>
        <w:t>Required actions include:</w:t>
      </w:r>
    </w:p>
    <w:p w14:paraId="4434648A" w14:textId="77777777" w:rsidR="00C55EA3" w:rsidRPr="00E06233" w:rsidRDefault="00C55EA3" w:rsidP="0028218E">
      <w:pPr>
        <w:pStyle w:val="CDGBBullets-1stindent"/>
        <w:numPr>
          <w:ilvl w:val="0"/>
          <w:numId w:val="20"/>
        </w:numPr>
        <w:spacing w:line="240" w:lineRule="auto"/>
        <w:ind w:left="720"/>
      </w:pPr>
      <w:r w:rsidRPr="00E06233">
        <w:t>Review existing local employment policies and include the EO policy in your local government policy manual/handbook.</w:t>
      </w:r>
    </w:p>
    <w:p w14:paraId="2901D48E" w14:textId="76FA2505" w:rsidR="00C55EA3" w:rsidRPr="00E06233" w:rsidRDefault="00C55EA3" w:rsidP="0028218E">
      <w:pPr>
        <w:pStyle w:val="CDGBBullets-1stindent"/>
        <w:numPr>
          <w:ilvl w:val="0"/>
          <w:numId w:val="20"/>
        </w:numPr>
        <w:spacing w:line="240" w:lineRule="auto"/>
        <w:ind w:left="720"/>
      </w:pPr>
      <w:r w:rsidRPr="00E06233">
        <w:t xml:space="preserve">Include </w:t>
      </w:r>
      <w:r w:rsidR="006C56CE">
        <w:t>E</w:t>
      </w:r>
      <w:r w:rsidRPr="00E06233">
        <w:t xml:space="preserve">qual </w:t>
      </w:r>
      <w:r w:rsidR="006C56CE">
        <w:t>O</w:t>
      </w:r>
      <w:r w:rsidRPr="00E06233">
        <w:t xml:space="preserve">pportunity </w:t>
      </w:r>
      <w:r w:rsidR="006C56CE">
        <w:t>E</w:t>
      </w:r>
      <w:r w:rsidRPr="00E06233">
        <w:t>mployer notification in employment advertisements</w:t>
      </w:r>
      <w:r w:rsidR="006C56CE">
        <w:t>.</w:t>
      </w:r>
    </w:p>
    <w:p w14:paraId="46441DEF" w14:textId="139033B1" w:rsidR="00C55EA3" w:rsidRPr="00E06233" w:rsidRDefault="00C55EA3" w:rsidP="0028218E">
      <w:pPr>
        <w:pStyle w:val="CDGBBullets-1stindent"/>
        <w:numPr>
          <w:ilvl w:val="0"/>
          <w:numId w:val="20"/>
        </w:numPr>
        <w:spacing w:line="240" w:lineRule="auto"/>
        <w:ind w:left="720"/>
      </w:pPr>
      <w:r w:rsidRPr="00E06233">
        <w:t xml:space="preserve">Include applicable equal opportunity provisions and certifications in the bid packets, contracts, and subcontracts. These are included in the sample bid package found in </w:t>
      </w:r>
      <w:r w:rsidRPr="007722E3">
        <w:rPr>
          <w:bCs w:val="0"/>
          <w:i/>
          <w:iCs/>
        </w:rPr>
        <w:t>Chapter 5</w:t>
      </w:r>
      <w:r w:rsidRPr="00E06233">
        <w:rPr>
          <w:bCs w:val="0"/>
        </w:rPr>
        <w:t xml:space="preserve"> </w:t>
      </w:r>
      <w:r w:rsidRPr="00E06233">
        <w:rPr>
          <w:bCs w:val="0"/>
          <w:i/>
          <w:iCs/>
        </w:rPr>
        <w:t>Procurement</w:t>
      </w:r>
      <w:r w:rsidRPr="00E06233">
        <w:rPr>
          <w:b/>
        </w:rPr>
        <w:t>.</w:t>
      </w:r>
      <w:r w:rsidRPr="00E06233">
        <w:t xml:space="preserve"> Include the EO clause </w:t>
      </w:r>
      <w:r w:rsidR="00BA12D6">
        <w:t>required by</w:t>
      </w:r>
      <w:r w:rsidRPr="00E06233">
        <w:t xml:space="preserve"> 2 CFR 200 Appendix II in all contracts and for construction contracts &gt; $10,000.</w:t>
      </w:r>
      <w:r w:rsidR="00335440">
        <w:rPr>
          <w:rStyle w:val="FootnoteReference"/>
        </w:rPr>
        <w:footnoteReference w:id="7"/>
      </w:r>
      <w:r w:rsidRPr="00E06233">
        <w:t xml:space="preserve"> </w:t>
      </w:r>
    </w:p>
    <w:p w14:paraId="1616963A" w14:textId="7B8DEE4E" w:rsidR="000D73BA" w:rsidRDefault="000D73BA" w:rsidP="00FD015E">
      <w:pPr>
        <w:pStyle w:val="CDGBBullets-1stindent"/>
        <w:numPr>
          <w:ilvl w:val="0"/>
          <w:numId w:val="0"/>
        </w:numPr>
        <w:spacing w:line="240" w:lineRule="auto"/>
        <w:ind w:left="720"/>
      </w:pPr>
    </w:p>
    <w:p w14:paraId="4E0D6312" w14:textId="2EAACB4F" w:rsidR="00F270EC" w:rsidRDefault="00F270EC" w:rsidP="00FD015E">
      <w:pPr>
        <w:pStyle w:val="Heading2"/>
      </w:pPr>
      <w:bookmarkStart w:id="8" w:name="_Toc123116591"/>
      <w:bookmarkStart w:id="9" w:name="_Toc171791351"/>
      <w:r>
        <w:t>10.1.3 Affirmatively Furthering Fair Housing</w:t>
      </w:r>
      <w:bookmarkEnd w:id="8"/>
      <w:bookmarkEnd w:id="9"/>
    </w:p>
    <w:p w14:paraId="729E7D28" w14:textId="77777777" w:rsidR="00F270EC" w:rsidRPr="00774194" w:rsidRDefault="00F270EC" w:rsidP="00FD015E"/>
    <w:p w14:paraId="45345CA5" w14:textId="64308ECE" w:rsidR="00F270EC" w:rsidRPr="000D73BA" w:rsidRDefault="00F270EC" w:rsidP="00FD015E">
      <w:pPr>
        <w:pStyle w:val="CDGBBODYSTYLE"/>
        <w:spacing w:line="240" w:lineRule="auto"/>
        <w:jc w:val="left"/>
      </w:pPr>
      <w:r w:rsidRPr="000D73BA">
        <w:t>Section 808(e)(5) of the Fair Housing Act</w:t>
      </w:r>
      <w:r w:rsidR="000748A5">
        <w:t>,</w:t>
      </w:r>
      <w:r w:rsidRPr="000D73BA">
        <w:t xml:space="preserve"> 42 USC </w:t>
      </w:r>
      <w:r w:rsidR="000748A5" w:rsidRPr="006E1769">
        <w:t>§</w:t>
      </w:r>
      <w:r w:rsidRPr="000D73BA">
        <w:t>3608(e)(5)</w:t>
      </w:r>
      <w:r w:rsidR="000748A5">
        <w:t>,</w:t>
      </w:r>
      <w:r w:rsidRPr="000D73BA">
        <w:t xml:space="preserve"> requires that HUD programs and activities be administered in a</w:t>
      </w:r>
      <w:r w:rsidR="00587DAB">
        <w:t>n affirmative</w:t>
      </w:r>
      <w:r w:rsidRPr="000D73BA">
        <w:t xml:space="preserve"> manner to further the policies of the Fair Housing Act. </w:t>
      </w:r>
    </w:p>
    <w:p w14:paraId="04D2FC30" w14:textId="77777777" w:rsidR="00F270EC" w:rsidRPr="000D73BA" w:rsidRDefault="00F270EC" w:rsidP="00FD015E">
      <w:pPr>
        <w:pStyle w:val="CDGBBODYSTYLE"/>
        <w:spacing w:line="240" w:lineRule="auto"/>
        <w:jc w:val="left"/>
      </w:pPr>
      <w:r w:rsidRPr="000D73BA">
        <w:t xml:space="preserve">The Fair Housing Act provides for the protection of the following federally protected classes: </w:t>
      </w:r>
    </w:p>
    <w:p w14:paraId="2D21738A" w14:textId="6392B8C7" w:rsidR="00F270EC" w:rsidRDefault="00F270EC" w:rsidP="0028218E">
      <w:pPr>
        <w:pStyle w:val="CDGBBullets-1stindent"/>
        <w:numPr>
          <w:ilvl w:val="0"/>
          <w:numId w:val="16"/>
        </w:numPr>
        <w:spacing w:line="240" w:lineRule="auto"/>
      </w:pPr>
      <w:r w:rsidRPr="000D73BA">
        <w:t xml:space="preserve">Race </w:t>
      </w:r>
      <w:r w:rsidR="00193A85">
        <w:tab/>
      </w:r>
      <w:r w:rsidR="00193A85">
        <w:tab/>
      </w:r>
      <w:r w:rsidR="00193A85">
        <w:tab/>
      </w:r>
      <w:r w:rsidR="00193A85" w:rsidRPr="00193A85">
        <w:rPr>
          <w:sz w:val="28"/>
          <w:szCs w:val="28"/>
        </w:rPr>
        <w:t>•</w:t>
      </w:r>
      <w:r w:rsidR="00193A85">
        <w:t xml:space="preserve">    Disability</w:t>
      </w:r>
    </w:p>
    <w:p w14:paraId="44AC6CD2" w14:textId="15CB638C" w:rsidR="00DA1331" w:rsidRPr="000D73BA" w:rsidRDefault="00DA1331" w:rsidP="0028218E">
      <w:pPr>
        <w:pStyle w:val="CDGBBullets-1stindent"/>
        <w:numPr>
          <w:ilvl w:val="0"/>
          <w:numId w:val="16"/>
        </w:numPr>
        <w:spacing w:line="240" w:lineRule="auto"/>
      </w:pPr>
      <w:r>
        <w:t>Color</w:t>
      </w:r>
      <w:r w:rsidR="00193A85">
        <w:tab/>
      </w:r>
      <w:r w:rsidR="00193A85">
        <w:tab/>
      </w:r>
      <w:r w:rsidR="00193A85">
        <w:tab/>
      </w:r>
      <w:r w:rsidR="00193A85" w:rsidRPr="00193A85">
        <w:rPr>
          <w:sz w:val="28"/>
          <w:szCs w:val="28"/>
        </w:rPr>
        <w:t>•</w:t>
      </w:r>
      <w:r w:rsidR="00193A85">
        <w:t xml:space="preserve">    </w:t>
      </w:r>
      <w:r w:rsidR="006F0C6E">
        <w:t>Familial status</w:t>
      </w:r>
    </w:p>
    <w:p w14:paraId="775A2E26" w14:textId="6DEF9A2E" w:rsidR="00F270EC" w:rsidRPr="000D73BA" w:rsidRDefault="00F270EC" w:rsidP="0028218E">
      <w:pPr>
        <w:pStyle w:val="CDGBBullets-1stindent"/>
        <w:numPr>
          <w:ilvl w:val="0"/>
          <w:numId w:val="16"/>
        </w:numPr>
        <w:spacing w:line="240" w:lineRule="auto"/>
      </w:pPr>
      <w:r w:rsidRPr="000D73BA">
        <w:t>Religion</w:t>
      </w:r>
      <w:r w:rsidR="00193A85">
        <w:tab/>
      </w:r>
      <w:r w:rsidR="00193A85">
        <w:tab/>
      </w:r>
      <w:r w:rsidR="00EF562A">
        <w:tab/>
      </w:r>
      <w:r w:rsidR="00193A85" w:rsidRPr="00193A85">
        <w:rPr>
          <w:sz w:val="28"/>
          <w:szCs w:val="28"/>
        </w:rPr>
        <w:t>•</w:t>
      </w:r>
      <w:r w:rsidR="00193A85">
        <w:t xml:space="preserve">    </w:t>
      </w:r>
      <w:r w:rsidR="00193A85" w:rsidRPr="000D73BA">
        <w:t>National origin</w:t>
      </w:r>
    </w:p>
    <w:p w14:paraId="59A970C6" w14:textId="77777777" w:rsidR="00F270EC" w:rsidRPr="000D73BA" w:rsidRDefault="00F270EC" w:rsidP="0028218E">
      <w:pPr>
        <w:pStyle w:val="CDGBBullets-1stindent"/>
        <w:numPr>
          <w:ilvl w:val="0"/>
          <w:numId w:val="16"/>
        </w:numPr>
        <w:spacing w:line="240" w:lineRule="auto"/>
      </w:pPr>
      <w:r w:rsidRPr="000D73BA">
        <w:t>Sex</w:t>
      </w:r>
    </w:p>
    <w:p w14:paraId="43447B5D" w14:textId="09587B3B" w:rsidR="00F270EC" w:rsidRPr="000D73BA" w:rsidRDefault="00F270EC" w:rsidP="00FD015E">
      <w:pPr>
        <w:pStyle w:val="CDGBBullets-1stindent"/>
        <w:numPr>
          <w:ilvl w:val="0"/>
          <w:numId w:val="0"/>
        </w:numPr>
        <w:spacing w:line="240" w:lineRule="auto"/>
        <w:ind w:left="720"/>
      </w:pPr>
    </w:p>
    <w:p w14:paraId="166A36C0" w14:textId="77777777" w:rsidR="000646DE" w:rsidRDefault="000646DE" w:rsidP="00FD015E">
      <w:pPr>
        <w:pStyle w:val="CDGBBoldArial11"/>
        <w:spacing w:line="240" w:lineRule="auto"/>
      </w:pPr>
    </w:p>
    <w:p w14:paraId="11AB4AEA" w14:textId="66062FF2" w:rsidR="00F270EC" w:rsidRPr="0063491A" w:rsidRDefault="00F270EC" w:rsidP="00FD015E">
      <w:pPr>
        <w:pStyle w:val="CDGBBoldArial11"/>
        <w:spacing w:line="240" w:lineRule="auto"/>
        <w:rPr>
          <w:bCs/>
        </w:rPr>
      </w:pPr>
      <w:r>
        <w:t xml:space="preserve">Adopt and Publicize a </w:t>
      </w:r>
      <w:r w:rsidRPr="0063491A">
        <w:t>Fair Housing Policy</w:t>
      </w:r>
    </w:p>
    <w:p w14:paraId="7365A282" w14:textId="77777777" w:rsidR="00F270EC" w:rsidRDefault="00F270EC" w:rsidP="00FD015E">
      <w:pPr>
        <w:pStyle w:val="CDGBBODYSTYLE"/>
        <w:spacing w:line="240" w:lineRule="auto"/>
        <w:jc w:val="left"/>
      </w:pPr>
      <w:r>
        <w:t>Grant Recipients must a</w:t>
      </w:r>
      <w:r w:rsidRPr="00E06233">
        <w:t xml:space="preserve">dopt </w:t>
      </w:r>
      <w:r>
        <w:t xml:space="preserve">(or affirm) </w:t>
      </w:r>
      <w:r w:rsidRPr="00E06233">
        <w:t xml:space="preserve">a Fair Housing Policy by ordinance or resolution based on the requirements of the Fair Housing Act to affirmatively further fair housing choices for all seven protected classes. </w:t>
      </w:r>
    </w:p>
    <w:p w14:paraId="1D185B93" w14:textId="77777777" w:rsidR="00F270EC" w:rsidRDefault="00F270EC" w:rsidP="0028218E">
      <w:pPr>
        <w:pStyle w:val="CDGBBullets-1stindent"/>
        <w:numPr>
          <w:ilvl w:val="0"/>
          <w:numId w:val="17"/>
        </w:numPr>
        <w:spacing w:line="240" w:lineRule="auto"/>
        <w:ind w:left="720"/>
      </w:pPr>
      <w:r w:rsidRPr="00E06233">
        <w:t xml:space="preserve">Include in the policy a plan for activities that will affirmatively further fair housing in the community. </w:t>
      </w:r>
    </w:p>
    <w:p w14:paraId="4A7DE41A" w14:textId="77777777" w:rsidR="00F270EC" w:rsidRDefault="00F270EC" w:rsidP="0028218E">
      <w:pPr>
        <w:pStyle w:val="CDGBBullets-1stindent"/>
        <w:numPr>
          <w:ilvl w:val="0"/>
          <w:numId w:val="17"/>
        </w:numPr>
        <w:spacing w:line="240" w:lineRule="auto"/>
        <w:ind w:left="720"/>
      </w:pPr>
      <w:r w:rsidRPr="00E06233">
        <w:t xml:space="preserve">If the Grant Recipient is a city, pass a fair housing ordinance. If possible, include a penalty clause in the ordinance. </w:t>
      </w:r>
    </w:p>
    <w:p w14:paraId="5AA4A125" w14:textId="77777777" w:rsidR="00F270EC" w:rsidRPr="001B5250" w:rsidRDefault="00F270EC" w:rsidP="0028218E">
      <w:pPr>
        <w:pStyle w:val="CDGBBullets-1stindent"/>
        <w:numPr>
          <w:ilvl w:val="0"/>
          <w:numId w:val="17"/>
        </w:numPr>
        <w:spacing w:line="240" w:lineRule="auto"/>
        <w:ind w:left="720"/>
      </w:pPr>
      <w:r w:rsidRPr="00E06233">
        <w:t xml:space="preserve">If the Grant Recipient is a county, adopt written fair housing policies and procedures that are equivalent </w:t>
      </w:r>
      <w:r w:rsidRPr="001B5250">
        <w:t>to a fair housing ordinance.</w:t>
      </w:r>
    </w:p>
    <w:p w14:paraId="78C6F143" w14:textId="77777777" w:rsidR="00F270EC" w:rsidRDefault="00F270EC" w:rsidP="0028218E">
      <w:pPr>
        <w:pStyle w:val="CDGBBullets-1stindent"/>
        <w:numPr>
          <w:ilvl w:val="0"/>
          <w:numId w:val="17"/>
        </w:numPr>
        <w:spacing w:line="240" w:lineRule="auto"/>
        <w:ind w:left="720"/>
      </w:pPr>
      <w:r w:rsidRPr="001B5250">
        <w:t>Grant Recipients should consult with their county/city attorney or contact the applicable trade association (</w:t>
      </w:r>
      <w:hyperlink r:id="rId11" w:history="1">
        <w:r w:rsidRPr="002865FD">
          <w:rPr>
            <w:rStyle w:val="Hyperlink"/>
            <w:rFonts w:cs="Arial"/>
            <w:color w:val="auto"/>
          </w:rPr>
          <w:t>Texas Municipal League</w:t>
        </w:r>
      </w:hyperlink>
      <w:r w:rsidRPr="001B5250">
        <w:t xml:space="preserve"> or </w:t>
      </w:r>
      <w:hyperlink r:id="rId12" w:history="1">
        <w:r w:rsidRPr="002865FD">
          <w:rPr>
            <w:rStyle w:val="Hyperlink"/>
            <w:rFonts w:cs="Arial"/>
            <w:color w:val="auto"/>
          </w:rPr>
          <w:t>Texas Association of Counties</w:t>
        </w:r>
      </w:hyperlink>
      <w:r w:rsidRPr="001B5250">
        <w:t xml:space="preserve">) for a </w:t>
      </w:r>
      <w:r w:rsidRPr="00E06233">
        <w:t>sample fair housing ordinance</w:t>
      </w:r>
      <w:r>
        <w:t xml:space="preserve"> or policy</w:t>
      </w:r>
      <w:r w:rsidRPr="00E06233">
        <w:t>.</w:t>
      </w:r>
    </w:p>
    <w:p w14:paraId="03229BF8" w14:textId="0020BB87" w:rsidR="00F270EC" w:rsidRDefault="004038D3" w:rsidP="0028218E">
      <w:pPr>
        <w:pStyle w:val="CDGBBullets-1stindent"/>
        <w:numPr>
          <w:ilvl w:val="0"/>
          <w:numId w:val="17"/>
        </w:numPr>
        <w:spacing w:line="240" w:lineRule="auto"/>
        <w:ind w:left="720"/>
      </w:pPr>
      <w:r>
        <w:t>See also</w:t>
      </w:r>
      <w:r w:rsidR="00F270EC" w:rsidRPr="00E06233">
        <w:t xml:space="preserve"> </w:t>
      </w:r>
      <w:r w:rsidR="00F270EC" w:rsidRPr="000D73BA">
        <w:rPr>
          <w:i/>
          <w:iCs/>
        </w:rPr>
        <w:t>Sample Resolution Regarding Civil</w:t>
      </w:r>
      <w:r w:rsidR="00F270EC" w:rsidRPr="00E06233">
        <w:t xml:space="preserve"> Rights (</w:t>
      </w:r>
      <w:r w:rsidR="00F270EC" w:rsidRPr="00E06233">
        <w:rPr>
          <w:b/>
        </w:rPr>
        <w:t>Form A1014)</w:t>
      </w:r>
      <w:r>
        <w:rPr>
          <w:b/>
        </w:rPr>
        <w:t>,</w:t>
      </w:r>
      <w:r w:rsidR="00F270EC" w:rsidRPr="00E06233">
        <w:t xml:space="preserve"> </w:t>
      </w:r>
      <w:r w:rsidR="00F270EC" w:rsidRPr="000D73BA">
        <w:rPr>
          <w:i/>
          <w:iCs/>
        </w:rPr>
        <w:t xml:space="preserve">Sample Fair Housing Policy Form </w:t>
      </w:r>
      <w:r w:rsidR="00F270EC" w:rsidRPr="00E06233">
        <w:t>(</w:t>
      </w:r>
      <w:r w:rsidR="00F270EC" w:rsidRPr="00E06233">
        <w:rPr>
          <w:b/>
        </w:rPr>
        <w:t>A1015)</w:t>
      </w:r>
      <w:r w:rsidR="00F270EC" w:rsidRPr="00E06233">
        <w:t>; a</w:t>
      </w:r>
      <w:r>
        <w:t xml:space="preserve">nd </w:t>
      </w:r>
      <w:r w:rsidR="00F270EC" w:rsidRPr="000D73BA">
        <w:rPr>
          <w:i/>
          <w:iCs/>
        </w:rPr>
        <w:t xml:space="preserve">Sample Fair Housing </w:t>
      </w:r>
      <w:r>
        <w:rPr>
          <w:i/>
          <w:iCs/>
        </w:rPr>
        <w:t xml:space="preserve">Month </w:t>
      </w:r>
      <w:r w:rsidR="00F270EC" w:rsidRPr="000D73BA">
        <w:rPr>
          <w:i/>
          <w:iCs/>
        </w:rPr>
        <w:t>Proclamation</w:t>
      </w:r>
      <w:r w:rsidR="00F270EC" w:rsidRPr="00E06233">
        <w:t xml:space="preserve"> </w:t>
      </w:r>
      <w:r w:rsidR="00F270EC" w:rsidRPr="00E06233">
        <w:rPr>
          <w:b/>
          <w:iCs/>
        </w:rPr>
        <w:t xml:space="preserve">(Form </w:t>
      </w:r>
      <w:r w:rsidR="00F270EC" w:rsidRPr="00E06233">
        <w:rPr>
          <w:b/>
        </w:rPr>
        <w:t>A1007).</w:t>
      </w:r>
    </w:p>
    <w:p w14:paraId="61C619B0" w14:textId="77777777" w:rsidR="00F270EC" w:rsidRDefault="00F270EC" w:rsidP="00FD015E">
      <w:pPr>
        <w:rPr>
          <w:rFonts w:cs="Arial"/>
          <w:szCs w:val="22"/>
        </w:rPr>
      </w:pPr>
    </w:p>
    <w:p w14:paraId="07D44F4F" w14:textId="77777777" w:rsidR="00F270EC" w:rsidRPr="00204969" w:rsidRDefault="00F270EC" w:rsidP="00FD015E">
      <w:pPr>
        <w:pStyle w:val="CDGBBODYSTYLE"/>
        <w:spacing w:line="240" w:lineRule="auto"/>
        <w:jc w:val="left"/>
      </w:pPr>
      <w:r w:rsidRPr="00204969">
        <w:t>Grant Recipients must take at least one more action during the agreement term which publicizes the effort to affirmatively further fair housing.</w:t>
      </w:r>
    </w:p>
    <w:p w14:paraId="76F3300F" w14:textId="18E109E3" w:rsidR="00F270EC" w:rsidRPr="00E06233" w:rsidRDefault="00F270EC" w:rsidP="0028218E">
      <w:pPr>
        <w:pStyle w:val="CDGBBullets-1stindent"/>
        <w:numPr>
          <w:ilvl w:val="0"/>
          <w:numId w:val="21"/>
        </w:numPr>
        <w:spacing w:line="240" w:lineRule="auto"/>
        <w:ind w:left="720"/>
      </w:pPr>
      <w:r>
        <w:t>Publicize the fair housing policy through newspaper publication, fliers enclosed in utility bills, or p</w:t>
      </w:r>
      <w:r w:rsidRPr="00E06233">
        <w:t>ublic service announcement</w:t>
      </w:r>
      <w:r w:rsidR="004038D3">
        <w:t>, s</w:t>
      </w:r>
      <w:r w:rsidRPr="00E06233">
        <w:t xml:space="preserve">ee </w:t>
      </w:r>
      <w:r w:rsidR="004038D3" w:rsidRPr="00CA3884">
        <w:rPr>
          <w:i/>
        </w:rPr>
        <w:t>Sample Fair Housing Public Service Announcement</w:t>
      </w:r>
      <w:r w:rsidR="004038D3">
        <w:rPr>
          <w:i/>
        </w:rPr>
        <w:t xml:space="preserve"> </w:t>
      </w:r>
      <w:r w:rsidR="004038D3" w:rsidRPr="002865FD">
        <w:rPr>
          <w:b/>
          <w:bCs w:val="0"/>
          <w:iCs/>
        </w:rPr>
        <w:t>(</w:t>
      </w:r>
      <w:r w:rsidRPr="00CA3884">
        <w:rPr>
          <w:b/>
        </w:rPr>
        <w:t>Form A1009</w:t>
      </w:r>
      <w:r w:rsidR="004038D3" w:rsidRPr="002865FD">
        <w:rPr>
          <w:b/>
          <w:bCs w:val="0"/>
        </w:rPr>
        <w:t>)</w:t>
      </w:r>
      <w:r w:rsidR="004038D3">
        <w:t>.</w:t>
      </w:r>
    </w:p>
    <w:p w14:paraId="6A87AFA6" w14:textId="77777777" w:rsidR="00F270EC" w:rsidRDefault="00F270EC" w:rsidP="0028218E">
      <w:pPr>
        <w:pStyle w:val="CDGBBullets-1stindent"/>
        <w:numPr>
          <w:ilvl w:val="0"/>
          <w:numId w:val="21"/>
        </w:numPr>
        <w:spacing w:line="240" w:lineRule="auto"/>
        <w:ind w:left="720"/>
      </w:pPr>
      <w:proofErr w:type="gramStart"/>
      <w:r>
        <w:t>Host</w:t>
      </w:r>
      <w:proofErr w:type="gramEnd"/>
      <w:r>
        <w:t xml:space="preserve"> a fair housing booth for a local event.</w:t>
      </w:r>
    </w:p>
    <w:p w14:paraId="726A6B69" w14:textId="6160CE3E" w:rsidR="00F270EC" w:rsidRPr="00E06233" w:rsidRDefault="00F270EC" w:rsidP="0028218E">
      <w:pPr>
        <w:pStyle w:val="CDGBBullets-1stindent"/>
        <w:numPr>
          <w:ilvl w:val="0"/>
          <w:numId w:val="21"/>
        </w:numPr>
        <w:spacing w:line="240" w:lineRule="auto"/>
        <w:ind w:left="720"/>
      </w:pPr>
      <w:r w:rsidRPr="00E06233">
        <w:t xml:space="preserve">Designate April or any other month as </w:t>
      </w:r>
      <w:r w:rsidRPr="002865FD">
        <w:t>Fair Housing Month</w:t>
      </w:r>
      <w:r w:rsidRPr="00E06233">
        <w:t xml:space="preserve"> by Proclamation or Resolution along with another sponsoring activity. Another fair housing activity must take place if this activity is chosen. See </w:t>
      </w:r>
      <w:r w:rsidRPr="00E06233">
        <w:rPr>
          <w:b/>
          <w:bCs w:val="0"/>
        </w:rPr>
        <w:t>NOTE</w:t>
      </w:r>
      <w:r w:rsidRPr="00E06233">
        <w:t xml:space="preserve"> below</w:t>
      </w:r>
      <w:r w:rsidR="004038D3">
        <w:t xml:space="preserve"> and </w:t>
      </w:r>
      <w:r w:rsidR="004038D3" w:rsidRPr="00E06233">
        <w:t>S</w:t>
      </w:r>
      <w:r w:rsidR="004038D3" w:rsidRPr="00E06233">
        <w:rPr>
          <w:i/>
        </w:rPr>
        <w:t xml:space="preserve">ample Fair Housing </w:t>
      </w:r>
      <w:r w:rsidR="004038D3">
        <w:rPr>
          <w:i/>
        </w:rPr>
        <w:t xml:space="preserve">Month </w:t>
      </w:r>
      <w:r w:rsidR="004038D3" w:rsidRPr="00E06233">
        <w:rPr>
          <w:i/>
        </w:rPr>
        <w:t>Proclamation</w:t>
      </w:r>
      <w:r w:rsidR="004038D3">
        <w:rPr>
          <w:i/>
        </w:rPr>
        <w:t xml:space="preserve"> </w:t>
      </w:r>
      <w:r w:rsidR="004038D3" w:rsidRPr="002865FD">
        <w:rPr>
          <w:b/>
          <w:bCs w:val="0"/>
          <w:iCs/>
        </w:rPr>
        <w:t>(</w:t>
      </w:r>
      <w:r w:rsidRPr="00E06233">
        <w:rPr>
          <w:b/>
        </w:rPr>
        <w:t>Form A1007</w:t>
      </w:r>
      <w:r w:rsidR="004038D3">
        <w:rPr>
          <w:b/>
        </w:rPr>
        <w:t>)</w:t>
      </w:r>
      <w:r w:rsidR="004038D3" w:rsidRPr="002865FD">
        <w:rPr>
          <w:bCs w:val="0"/>
        </w:rPr>
        <w:t>.</w:t>
      </w:r>
    </w:p>
    <w:p w14:paraId="2078606D" w14:textId="0DF584E9" w:rsidR="00204969" w:rsidRDefault="00F270EC" w:rsidP="0028218E">
      <w:pPr>
        <w:pStyle w:val="CDGBBullets-1stindent"/>
        <w:numPr>
          <w:ilvl w:val="0"/>
          <w:numId w:val="21"/>
        </w:numPr>
        <w:spacing w:line="240" w:lineRule="auto"/>
        <w:ind w:left="720"/>
      </w:pPr>
      <w:r w:rsidRPr="00E06233">
        <w:t xml:space="preserve">Have a written local complaint and monitoring process </w:t>
      </w:r>
      <w:r>
        <w:t xml:space="preserve">for the fair housing policy </w:t>
      </w:r>
      <w:r w:rsidRPr="00E06233">
        <w:t>and notify the public of its existence through newspaper advertisements, or through notices in utility statements.</w:t>
      </w:r>
    </w:p>
    <w:p w14:paraId="1EF8A2D5" w14:textId="77777777" w:rsidR="0006583E" w:rsidRDefault="0006583E" w:rsidP="00FD015E">
      <w:pPr>
        <w:pStyle w:val="CDGBBullets-1stindent"/>
        <w:numPr>
          <w:ilvl w:val="0"/>
          <w:numId w:val="0"/>
        </w:numPr>
        <w:spacing w:line="240" w:lineRule="auto"/>
        <w:ind w:left="720"/>
      </w:pPr>
    </w:p>
    <w:p w14:paraId="2478F70F" w14:textId="77777777" w:rsidR="00F270EC" w:rsidRPr="008E669E" w:rsidRDefault="00F270EC" w:rsidP="00FD015E">
      <w:pPr>
        <w:pStyle w:val="CDGBBullets-1stindent"/>
        <w:numPr>
          <w:ilvl w:val="0"/>
          <w:numId w:val="0"/>
        </w:numPr>
        <w:spacing w:line="240" w:lineRule="auto"/>
        <w:rPr>
          <w:b/>
          <w:bCs w:val="0"/>
        </w:rPr>
      </w:pPr>
      <w:r>
        <w:rPr>
          <w:b/>
          <w:bCs w:val="0"/>
        </w:rPr>
        <w:t>Enhanced</w:t>
      </w:r>
      <w:r w:rsidRPr="008E669E">
        <w:rPr>
          <w:b/>
          <w:bCs w:val="0"/>
        </w:rPr>
        <w:t xml:space="preserve"> Ideas for </w:t>
      </w:r>
      <w:r>
        <w:rPr>
          <w:b/>
          <w:bCs w:val="0"/>
        </w:rPr>
        <w:t xml:space="preserve">Meeting </w:t>
      </w:r>
      <w:r w:rsidRPr="008E669E">
        <w:rPr>
          <w:b/>
          <w:bCs w:val="0"/>
        </w:rPr>
        <w:t>the Fair Housing Activities Requirement</w:t>
      </w:r>
    </w:p>
    <w:p w14:paraId="4FAAC1B5" w14:textId="77777777" w:rsidR="00F270EC" w:rsidRPr="00204969" w:rsidRDefault="00F270EC" w:rsidP="00FD015E">
      <w:pPr>
        <w:pStyle w:val="CDGBBODYSTYLE"/>
        <w:spacing w:line="240" w:lineRule="auto"/>
        <w:jc w:val="left"/>
      </w:pPr>
      <w:r>
        <w:t>If</w:t>
      </w:r>
      <w:r w:rsidRPr="00204969">
        <w:t xml:space="preserve"> a Fair Housing Policy has previously been adopted by the jurisdiction, Grant Recipients may request to meet the agreement’s fair housing requirement using one of the following activities instead.  </w:t>
      </w:r>
    </w:p>
    <w:p w14:paraId="18CE5A4D" w14:textId="77777777" w:rsidR="00F36FEB" w:rsidRDefault="00F36FEB" w:rsidP="00FD015E">
      <w:pPr>
        <w:pStyle w:val="CDGBBODYSTYLE"/>
        <w:spacing w:line="240" w:lineRule="auto"/>
        <w:jc w:val="left"/>
        <w:rPr>
          <w:b/>
          <w:bCs/>
        </w:rPr>
      </w:pPr>
    </w:p>
    <w:p w14:paraId="64D60CA0" w14:textId="020F1CBE" w:rsidR="00F270EC" w:rsidRPr="00204969" w:rsidRDefault="00204969" w:rsidP="00FD015E">
      <w:pPr>
        <w:pStyle w:val="CDGBBODYSTYLE"/>
        <w:spacing w:line="240" w:lineRule="auto"/>
        <w:jc w:val="left"/>
      </w:pPr>
      <w:r w:rsidRPr="00204969">
        <w:rPr>
          <w:b/>
          <w:bCs/>
        </w:rPr>
        <w:t>NOTE</w:t>
      </w:r>
      <w:r w:rsidR="00F270EC" w:rsidRPr="00204969">
        <w:t>:</w:t>
      </w:r>
      <w:r>
        <w:t xml:space="preserve"> I</w:t>
      </w:r>
      <w:r w:rsidR="00F270EC" w:rsidRPr="00204969">
        <w:t xml:space="preserve">f a grant application assigns additional points for fair housing activities, the Grant Recipient must select an activity from this list OR receive prior approval from TDA staff </w:t>
      </w:r>
      <w:proofErr w:type="gramStart"/>
      <w:r w:rsidR="00F270EC" w:rsidRPr="00204969">
        <w:t>in order to</w:t>
      </w:r>
      <w:proofErr w:type="gramEnd"/>
      <w:r w:rsidR="00F270EC" w:rsidRPr="00204969">
        <w:t xml:space="preserve"> receive those points.</w:t>
      </w:r>
    </w:p>
    <w:p w14:paraId="02AF4818" w14:textId="77777777" w:rsidR="00F270EC" w:rsidRPr="00E06233" w:rsidRDefault="00F270EC" w:rsidP="0028218E">
      <w:pPr>
        <w:pStyle w:val="CDGBBullets-1stindent"/>
        <w:numPr>
          <w:ilvl w:val="0"/>
          <w:numId w:val="22"/>
        </w:numPr>
        <w:spacing w:line="240" w:lineRule="auto"/>
        <w:ind w:left="720"/>
      </w:pPr>
      <w:r w:rsidRPr="00E06233">
        <w:t>Conduct a community-wide housing analysis to determine impediments to fair housing and</w:t>
      </w:r>
      <w:r w:rsidRPr="00E06233">
        <w:rPr>
          <w:i/>
        </w:rPr>
        <w:t xml:space="preserve"> </w:t>
      </w:r>
      <w:r w:rsidRPr="00E06233">
        <w:t>implement actions to eliminate these impediments.</w:t>
      </w:r>
    </w:p>
    <w:p w14:paraId="196D7EC3" w14:textId="77777777" w:rsidR="00F270EC" w:rsidRPr="00E06233" w:rsidRDefault="00F270EC" w:rsidP="0028218E">
      <w:pPr>
        <w:pStyle w:val="CDGBBullets-1stindent"/>
        <w:numPr>
          <w:ilvl w:val="0"/>
          <w:numId w:val="22"/>
        </w:numPr>
        <w:spacing w:line="240" w:lineRule="auto"/>
        <w:ind w:left="720"/>
      </w:pPr>
      <w:r w:rsidRPr="00E06233">
        <w:t>Sponsor or fund fair housing counseling/referral services for owners and renters.</w:t>
      </w:r>
    </w:p>
    <w:p w14:paraId="18A4C19B" w14:textId="77777777" w:rsidR="00F270EC" w:rsidRPr="00E06233" w:rsidRDefault="00F270EC" w:rsidP="0028218E">
      <w:pPr>
        <w:pStyle w:val="CDGBBullets-1stindent"/>
        <w:numPr>
          <w:ilvl w:val="0"/>
          <w:numId w:val="22"/>
        </w:numPr>
        <w:spacing w:line="240" w:lineRule="auto"/>
        <w:ind w:left="720"/>
      </w:pPr>
      <w:r w:rsidRPr="00E06233">
        <w:t>Promote housing opportunities outside historically minority and/or low- and moderate-income neighborhoods.</w:t>
      </w:r>
    </w:p>
    <w:p w14:paraId="03A41BB9" w14:textId="77777777" w:rsidR="00F270EC" w:rsidRPr="00E06233" w:rsidRDefault="00F270EC" w:rsidP="0028218E">
      <w:pPr>
        <w:pStyle w:val="CDGBBullets-1stindent"/>
        <w:numPr>
          <w:ilvl w:val="0"/>
          <w:numId w:val="22"/>
        </w:numPr>
        <w:spacing w:line="240" w:lineRule="auto"/>
        <w:ind w:left="720"/>
      </w:pPr>
      <w:r w:rsidRPr="00E06233">
        <w:t>Utilize local businesses and banking institutions</w:t>
      </w:r>
      <w:r>
        <w:t xml:space="preserve"> (minimum of 15 organizations)</w:t>
      </w:r>
      <w:r w:rsidRPr="00E06233">
        <w:t xml:space="preserve"> to promote fair housing by displaying fair housing posters.</w:t>
      </w:r>
    </w:p>
    <w:p w14:paraId="49C83577" w14:textId="77777777" w:rsidR="00F270EC" w:rsidRPr="00E06233" w:rsidRDefault="00F270EC" w:rsidP="0028218E">
      <w:pPr>
        <w:pStyle w:val="CDGBBullets-1stindent"/>
        <w:numPr>
          <w:ilvl w:val="0"/>
          <w:numId w:val="22"/>
        </w:numPr>
        <w:spacing w:line="240" w:lineRule="auto"/>
        <w:ind w:left="720"/>
      </w:pPr>
      <w:r w:rsidRPr="00E06233">
        <w:t xml:space="preserve">Conduct free training workshops on fair housing laws </w:t>
      </w:r>
      <w:proofErr w:type="gramStart"/>
      <w:r w:rsidRPr="00E06233">
        <w:t>to</w:t>
      </w:r>
      <w:proofErr w:type="gramEnd"/>
      <w:r w:rsidRPr="00E06233">
        <w:t xml:space="preserve"> homebuyers, rental property owners, and tenant organizations. </w:t>
      </w:r>
    </w:p>
    <w:p w14:paraId="20B7E4FB" w14:textId="77777777" w:rsidR="00F270EC" w:rsidRPr="00E06233" w:rsidRDefault="00F270EC" w:rsidP="0028218E">
      <w:pPr>
        <w:pStyle w:val="CDGBBullets-1stindent"/>
        <w:numPr>
          <w:ilvl w:val="0"/>
          <w:numId w:val="22"/>
        </w:numPr>
        <w:spacing w:line="240" w:lineRule="auto"/>
        <w:ind w:left="720"/>
      </w:pPr>
      <w:r w:rsidRPr="00E06233">
        <w:t>Sponsor a poster contest or essay writing contest at local schools to educate and promote fair housing.</w:t>
      </w:r>
    </w:p>
    <w:p w14:paraId="49D8475A" w14:textId="77777777" w:rsidR="00F270EC" w:rsidRPr="00E06233" w:rsidRDefault="00F270EC" w:rsidP="0028218E">
      <w:pPr>
        <w:pStyle w:val="CDGBBullets-1stindent"/>
        <w:numPr>
          <w:ilvl w:val="0"/>
          <w:numId w:val="22"/>
        </w:numPr>
        <w:spacing w:line="240" w:lineRule="auto"/>
        <w:ind w:left="720"/>
      </w:pPr>
      <w:r w:rsidRPr="00E06233">
        <w:t>Review local zoning laws and procedures to determine whether they contribute to, or detract from, fair housing choice.</w:t>
      </w:r>
      <w:r>
        <w:t xml:space="preserve">  Conduct a public meeting to discuss the analysis and conclusions.</w:t>
      </w:r>
    </w:p>
    <w:p w14:paraId="09361D31" w14:textId="77777777" w:rsidR="00F270EC" w:rsidRDefault="00F270EC" w:rsidP="0028218E">
      <w:pPr>
        <w:pStyle w:val="CDGBBullets-1stindent"/>
        <w:numPr>
          <w:ilvl w:val="0"/>
          <w:numId w:val="22"/>
        </w:numPr>
        <w:spacing w:line="240" w:lineRule="auto"/>
        <w:ind w:left="720"/>
      </w:pPr>
      <w:r w:rsidRPr="00E06233">
        <w:t>Find ways to inform builders and architects as early as possible in the project design phase, but certainly no later than the issuance of a building permit, of the need to comply with the accessibility requirements of the Fair Housing Act.</w:t>
      </w:r>
    </w:p>
    <w:p w14:paraId="230ED31E" w14:textId="77777777" w:rsidR="000748A5" w:rsidRDefault="000748A5" w:rsidP="00FD015E">
      <w:pPr>
        <w:rPr>
          <w:szCs w:val="22"/>
        </w:rPr>
      </w:pPr>
    </w:p>
    <w:p w14:paraId="3E5A08C8" w14:textId="77777777" w:rsidR="00F270EC" w:rsidRPr="00E06233" w:rsidRDefault="00F270EC" w:rsidP="00FD015E">
      <w:pPr>
        <w:pStyle w:val="CDGBBoldArial11"/>
        <w:spacing w:line="240" w:lineRule="auto"/>
      </w:pPr>
      <w:r w:rsidRPr="00E06233">
        <w:t>Fair Housing Activities Resource</w:t>
      </w:r>
    </w:p>
    <w:p w14:paraId="1F0FBF98" w14:textId="126365D6" w:rsidR="00F270EC" w:rsidRPr="00204969" w:rsidRDefault="00F270EC" w:rsidP="00FD015E">
      <w:pPr>
        <w:pStyle w:val="CDGBBODYSTYLE"/>
        <w:spacing w:line="240" w:lineRule="auto"/>
        <w:jc w:val="left"/>
      </w:pPr>
      <w:r w:rsidRPr="00204969">
        <w:t>HUD’s fair housing website contains a wealth of information and tools for Grant Recipients to use in conducting fair housing activities. Resources on the website include</w:t>
      </w:r>
      <w:r w:rsidR="000646DE">
        <w:t>:</w:t>
      </w:r>
    </w:p>
    <w:p w14:paraId="3A35E304" w14:textId="5B5ECA67" w:rsidR="00F270EC" w:rsidRPr="00204969" w:rsidRDefault="004038D3" w:rsidP="0028218E">
      <w:pPr>
        <w:pStyle w:val="CDGBBullets-1stindent"/>
        <w:numPr>
          <w:ilvl w:val="0"/>
          <w:numId w:val="23"/>
        </w:numPr>
        <w:spacing w:line="240" w:lineRule="auto"/>
        <w:ind w:left="720"/>
      </w:pPr>
      <w:r>
        <w:t>A</w:t>
      </w:r>
      <w:r w:rsidR="00F270EC" w:rsidRPr="00204969">
        <w:t xml:space="preserve"> fair housing planning guide</w:t>
      </w:r>
    </w:p>
    <w:p w14:paraId="4052DE27" w14:textId="5E87BD3D" w:rsidR="00F270EC" w:rsidRPr="00204969" w:rsidRDefault="004038D3" w:rsidP="0028218E">
      <w:pPr>
        <w:pStyle w:val="CDGBBullets-1stindent"/>
        <w:numPr>
          <w:ilvl w:val="0"/>
          <w:numId w:val="23"/>
        </w:numPr>
        <w:spacing w:line="240" w:lineRule="auto"/>
        <w:ind w:left="720"/>
      </w:pPr>
      <w:r>
        <w:t>F</w:t>
      </w:r>
      <w:r w:rsidR="00F270EC" w:rsidRPr="00204969">
        <w:t>air housing brochures and logos</w:t>
      </w:r>
    </w:p>
    <w:p w14:paraId="462165DE" w14:textId="1873B59D" w:rsidR="00F270EC" w:rsidRPr="00204969" w:rsidRDefault="004038D3" w:rsidP="0028218E">
      <w:pPr>
        <w:pStyle w:val="CDGBBullets-1stindent"/>
        <w:numPr>
          <w:ilvl w:val="0"/>
          <w:numId w:val="23"/>
        </w:numPr>
        <w:spacing w:line="240" w:lineRule="auto"/>
        <w:ind w:left="720"/>
      </w:pPr>
      <w:r>
        <w:t>F</w:t>
      </w:r>
      <w:r w:rsidR="00F270EC" w:rsidRPr="00204969">
        <w:t>air housing best practices</w:t>
      </w:r>
    </w:p>
    <w:p w14:paraId="0A4DDE7A" w14:textId="2A0B0374" w:rsidR="00F270EC" w:rsidRPr="00204969" w:rsidRDefault="004038D3" w:rsidP="0028218E">
      <w:pPr>
        <w:pStyle w:val="CDGBBullets-1stindent"/>
        <w:numPr>
          <w:ilvl w:val="0"/>
          <w:numId w:val="23"/>
        </w:numPr>
        <w:spacing w:line="240" w:lineRule="auto"/>
        <w:ind w:left="720"/>
      </w:pPr>
      <w:r>
        <w:t>C</w:t>
      </w:r>
      <w:r w:rsidR="00F270EC" w:rsidRPr="00204969">
        <w:t>ontact information for fair housing advocacy organizations</w:t>
      </w:r>
    </w:p>
    <w:p w14:paraId="685CA637" w14:textId="0390548F" w:rsidR="00F270EC" w:rsidRPr="00204969" w:rsidRDefault="004038D3" w:rsidP="0028218E">
      <w:pPr>
        <w:pStyle w:val="CDGBBullets-1stindent"/>
        <w:numPr>
          <w:ilvl w:val="0"/>
          <w:numId w:val="23"/>
        </w:numPr>
        <w:spacing w:line="240" w:lineRule="auto"/>
        <w:ind w:left="720"/>
      </w:pPr>
      <w:r>
        <w:t>A</w:t>
      </w:r>
      <w:r w:rsidR="00F270EC" w:rsidRPr="00204969">
        <w:t>ccessibility guidelines for housing units</w:t>
      </w:r>
    </w:p>
    <w:p w14:paraId="45617927" w14:textId="77777777" w:rsidR="00F270EC" w:rsidRPr="00E06233" w:rsidRDefault="00F270EC" w:rsidP="00FD015E">
      <w:pPr>
        <w:rPr>
          <w:rFonts w:cs="Arial"/>
          <w:noProof/>
          <w:szCs w:val="22"/>
        </w:rPr>
      </w:pPr>
    </w:p>
    <w:p w14:paraId="47719998" w14:textId="77777777" w:rsidR="00F270EC" w:rsidRPr="00E06233" w:rsidRDefault="00F270EC" w:rsidP="00FD015E">
      <w:pPr>
        <w:pStyle w:val="CDGBBODYSTYLE"/>
        <w:spacing w:line="240" w:lineRule="auto"/>
        <w:jc w:val="left"/>
      </w:pPr>
      <w:r w:rsidRPr="00E06233">
        <w:t xml:space="preserve">TDA recognizes that </w:t>
      </w:r>
      <w:proofErr w:type="gramStart"/>
      <w:r w:rsidRPr="00E06233">
        <w:t>in order to</w:t>
      </w:r>
      <w:proofErr w:type="gramEnd"/>
      <w:r w:rsidRPr="00E06233">
        <w:t xml:space="preserve"> conduct a fair housing activity the Grant Recipient will incur costs. The Grant Recipient may elect to pay for fair housing activities and count the expenses toward the local match requirement or submit a reimbursement request for eligible and reasonable costs to be paid by the TxCDBG grant under the General Administration line item.</w:t>
      </w:r>
    </w:p>
    <w:p w14:paraId="4CD660CA" w14:textId="77777777" w:rsidR="00204969" w:rsidRDefault="00204969" w:rsidP="00FD015E">
      <w:pPr>
        <w:pStyle w:val="CDGBBoldArial11"/>
        <w:spacing w:line="240" w:lineRule="auto"/>
      </w:pPr>
    </w:p>
    <w:p w14:paraId="5F9F1D04" w14:textId="1EB2CFB0" w:rsidR="00F270EC" w:rsidRPr="00E06233" w:rsidRDefault="00F270EC" w:rsidP="00FD015E">
      <w:pPr>
        <w:pStyle w:val="CDGBBoldArial11"/>
        <w:spacing w:line="240" w:lineRule="auto"/>
      </w:pPr>
      <w:r w:rsidRPr="00E06233">
        <w:t xml:space="preserve">Filing a Complaint Regarding Fair Housing in the State of Texas </w:t>
      </w:r>
    </w:p>
    <w:p w14:paraId="7628FA7E" w14:textId="77A6D8D9" w:rsidR="00F270EC" w:rsidRDefault="00F270EC" w:rsidP="00FD015E">
      <w:pPr>
        <w:pStyle w:val="CDGBBODYSTYLE"/>
        <w:spacing w:line="240" w:lineRule="auto"/>
        <w:jc w:val="left"/>
      </w:pPr>
      <w:r w:rsidRPr="00E06233">
        <w:t>The Texas Workforce Commission (TWC) is the entity responsible for enforcing the Fair Housing Act in the State of Texas. Complaints can also be made directly to HUD. Citizens have one year after an alleged violation to file a complaint. Complaints can be filed by email, fax, phone call, hand-delivery, or mail to</w:t>
      </w:r>
      <w:r w:rsidR="00F82046">
        <w:t>:</w:t>
      </w:r>
    </w:p>
    <w:p w14:paraId="3D5C8A25" w14:textId="77777777" w:rsidR="000646DE" w:rsidRPr="00E06233" w:rsidRDefault="000646DE" w:rsidP="00FD015E">
      <w:pPr>
        <w:pStyle w:val="CDGBBODYSTYLE"/>
        <w:spacing w:line="240" w:lineRule="auto"/>
        <w:jc w:val="left"/>
      </w:pPr>
    </w:p>
    <w:p w14:paraId="1D1E9E06" w14:textId="574BF4A8" w:rsidR="00F270EC" w:rsidRPr="002865FD" w:rsidRDefault="00F270EC" w:rsidP="00FD015E">
      <w:pPr>
        <w:pStyle w:val="CDGBBODYSTYLE"/>
        <w:spacing w:line="240" w:lineRule="auto"/>
        <w:ind w:left="450"/>
        <w:jc w:val="left"/>
        <w:rPr>
          <w:rStyle w:val="Hyperlink"/>
          <w:rFonts w:cs="Arial"/>
          <w:color w:val="auto"/>
        </w:rPr>
      </w:pPr>
      <w:r w:rsidRPr="00E06233">
        <w:rPr>
          <w:rStyle w:val="Strong"/>
        </w:rPr>
        <w:t>Texas Workforce Commission</w:t>
      </w:r>
      <w:r w:rsidRPr="00E06233">
        <w:br/>
        <w:t>Civil Rights Division</w:t>
      </w:r>
      <w:r w:rsidRPr="00E06233">
        <w:br/>
        <w:t>1117 Trinity Street, Room 144-T</w:t>
      </w:r>
      <w:r w:rsidRPr="00E06233">
        <w:br/>
        <w:t>Austin, Texas 78701</w:t>
      </w:r>
      <w:r w:rsidRPr="00E06233">
        <w:br/>
        <w:t>(888) 452-4778 or (512) 463-2642</w:t>
      </w:r>
      <w:r w:rsidRPr="00E06233">
        <w:br/>
        <w:t>TTY: 512-371-7473</w:t>
      </w:r>
      <w:r w:rsidRPr="00E06233">
        <w:br/>
        <w:t>Fax: 512-463-2643</w:t>
      </w:r>
      <w:r w:rsidRPr="00E06233">
        <w:br/>
        <w:t>Downloa</w:t>
      </w:r>
      <w:r w:rsidRPr="00F36FEB">
        <w:t xml:space="preserve">d the </w:t>
      </w:r>
      <w:hyperlink r:id="rId13" w:history="1">
        <w:r w:rsidRPr="002865FD">
          <w:rPr>
            <w:rStyle w:val="Hyperlink"/>
            <w:rFonts w:cs="Arial"/>
            <w:color w:val="auto"/>
          </w:rPr>
          <w:t>TWC Complaint Form</w:t>
        </w:r>
      </w:hyperlink>
      <w:r w:rsidRPr="00F36FEB">
        <w:t xml:space="preserve"> – </w:t>
      </w:r>
      <w:hyperlink r:id="rId14" w:history="1">
        <w:r w:rsidRPr="002865FD">
          <w:rPr>
            <w:rStyle w:val="Hyperlink"/>
            <w:rFonts w:cs="Arial"/>
            <w:color w:val="auto"/>
          </w:rPr>
          <w:t>HousingComplaint@twc.state.tx.us</w:t>
        </w:r>
      </w:hyperlink>
      <w:r w:rsidRPr="002865FD">
        <w:rPr>
          <w:rStyle w:val="Hyperlink"/>
          <w:rFonts w:cs="Arial"/>
          <w:color w:val="auto"/>
        </w:rPr>
        <w:t xml:space="preserve">    </w:t>
      </w:r>
    </w:p>
    <w:p w14:paraId="17F5B19E" w14:textId="77777777" w:rsidR="00204969" w:rsidRPr="002865FD" w:rsidRDefault="00204969" w:rsidP="00FD015E">
      <w:pPr>
        <w:pStyle w:val="CDGBBODYSTYLE"/>
        <w:spacing w:line="240" w:lineRule="auto"/>
        <w:ind w:left="450"/>
        <w:jc w:val="left"/>
        <w:rPr>
          <w:rStyle w:val="Hyperlink"/>
          <w:rFonts w:cs="Arial"/>
          <w:color w:val="auto"/>
        </w:rPr>
      </w:pPr>
    </w:p>
    <w:p w14:paraId="48486F5A" w14:textId="4BFB8C48" w:rsidR="0006107E" w:rsidRPr="00F36FEB" w:rsidRDefault="004E3353" w:rsidP="00FD015E">
      <w:pPr>
        <w:pStyle w:val="Heading2"/>
      </w:pPr>
      <w:bookmarkStart w:id="10" w:name="_Toc123116592"/>
      <w:bookmarkStart w:id="11" w:name="_Toc171791352"/>
      <w:r w:rsidRPr="00F36FEB">
        <w:t>10.</w:t>
      </w:r>
      <w:r w:rsidR="00F270EC" w:rsidRPr="00F36FEB">
        <w:t>1.4</w:t>
      </w:r>
      <w:r w:rsidRPr="00F36FEB">
        <w:t xml:space="preserve"> Section 504 Accessibility Policy</w:t>
      </w:r>
      <w:bookmarkEnd w:id="10"/>
      <w:bookmarkEnd w:id="11"/>
    </w:p>
    <w:p w14:paraId="483E4073" w14:textId="77777777" w:rsidR="00774194" w:rsidRDefault="00774194" w:rsidP="00FD015E">
      <w:pPr>
        <w:pStyle w:val="CDGBBODYSTYLE"/>
        <w:spacing w:line="240" w:lineRule="auto"/>
        <w:jc w:val="left"/>
      </w:pPr>
    </w:p>
    <w:p w14:paraId="5304E090" w14:textId="0A9CB55E" w:rsidR="00D2290B" w:rsidRPr="00E06233" w:rsidRDefault="00D2290B" w:rsidP="00FD015E">
      <w:pPr>
        <w:pStyle w:val="CDGBBODYSTYLE"/>
        <w:spacing w:line="240" w:lineRule="auto"/>
        <w:jc w:val="left"/>
      </w:pPr>
      <w:r w:rsidRPr="00E06233">
        <w:t xml:space="preserve">Section 504 of the Rehabilitation Act of 1973 prohibits discrimination in </w:t>
      </w:r>
      <w:proofErr w:type="gramStart"/>
      <w:r w:rsidRPr="00E06233">
        <w:t>federally-assisted</w:t>
      </w:r>
      <w:proofErr w:type="gramEnd"/>
      <w:r w:rsidRPr="00E06233">
        <w:t xml:space="preserve"> programs on the basis of disability. Section 504 imposes requirements to ensure that qualified individuals with disabilities have access to programs and activities that receive federal funds. Grant Recipients must adhere to the following procedures.</w:t>
      </w:r>
      <w:r w:rsidR="004038D3">
        <w:rPr>
          <w:rStyle w:val="FootnoteReference"/>
        </w:rPr>
        <w:footnoteReference w:id="8"/>
      </w:r>
      <w:r w:rsidRPr="00E06233">
        <w:t xml:space="preserve"> </w:t>
      </w:r>
    </w:p>
    <w:p w14:paraId="46C682D3" w14:textId="77777777" w:rsidR="00D2290B" w:rsidRPr="00D2290B" w:rsidRDefault="00D2290B" w:rsidP="00FD015E"/>
    <w:p w14:paraId="4A2FDE47" w14:textId="7D4A26BF" w:rsidR="00C55EA3" w:rsidRPr="00E06233" w:rsidRDefault="00C55EA3" w:rsidP="00FD015E">
      <w:pPr>
        <w:pStyle w:val="CDGBBoldArial11"/>
        <w:spacing w:line="240" w:lineRule="auto"/>
      </w:pPr>
      <w:bookmarkStart w:id="12" w:name="_Toc17791507"/>
      <w:bookmarkStart w:id="13" w:name="_Toc37841804"/>
      <w:bookmarkStart w:id="14" w:name="_Toc38100685"/>
      <w:r w:rsidRPr="00E06233">
        <w:t>Adoption of Grievance Procedures</w:t>
      </w:r>
      <w:bookmarkEnd w:id="12"/>
      <w:bookmarkEnd w:id="13"/>
      <w:bookmarkEnd w:id="14"/>
    </w:p>
    <w:p w14:paraId="296F3937" w14:textId="12B20C0C" w:rsidR="00C55EA3" w:rsidRPr="008277E9" w:rsidRDefault="00C55EA3" w:rsidP="00FD015E">
      <w:pPr>
        <w:pStyle w:val="CDGBBODYSTYLE"/>
        <w:spacing w:line="240" w:lineRule="auto"/>
        <w:jc w:val="left"/>
        <w:rPr>
          <w:i/>
        </w:rPr>
      </w:pPr>
      <w:r w:rsidRPr="00E06233">
        <w:t xml:space="preserve">Any Grant Recipient that employs 15 or more employees must adopt grievance procedures that incorporate </w:t>
      </w:r>
      <w:r w:rsidRPr="00E06233">
        <w:rPr>
          <w:b/>
          <w:bCs/>
        </w:rPr>
        <w:t>due process standards</w:t>
      </w:r>
      <w:r w:rsidRPr="00E06233">
        <w:t xml:space="preserve"> and allow for quick and prompt resolution of complaints alleging any action prohibited by Section 504.</w:t>
      </w:r>
      <w:r w:rsidR="004038D3">
        <w:rPr>
          <w:rStyle w:val="FootnoteReference"/>
        </w:rPr>
        <w:footnoteReference w:id="9"/>
      </w:r>
      <w:r w:rsidRPr="00E06233">
        <w:t xml:space="preserve"> Grievance procedures are not required to cover applicants for employment or applicants for housing</w:t>
      </w:r>
      <w:r w:rsidR="004038D3">
        <w:t>, s</w:t>
      </w:r>
      <w:r w:rsidRPr="00E06233">
        <w:t xml:space="preserve">ee </w:t>
      </w:r>
      <w:r w:rsidR="004038D3" w:rsidRPr="008277E9">
        <w:rPr>
          <w:i/>
        </w:rPr>
        <w:t>Section 504 Policy Against Discrimination based on Disability and Grievance Procedure</w:t>
      </w:r>
      <w:r w:rsidR="004038D3" w:rsidRPr="00E06233">
        <w:rPr>
          <w:b/>
        </w:rPr>
        <w:t xml:space="preserve"> </w:t>
      </w:r>
      <w:r w:rsidR="004038D3">
        <w:rPr>
          <w:b/>
        </w:rPr>
        <w:t>(</w:t>
      </w:r>
      <w:r w:rsidRPr="00E06233">
        <w:rPr>
          <w:b/>
        </w:rPr>
        <w:t>Form A1004</w:t>
      </w:r>
      <w:r w:rsidR="004038D3">
        <w:rPr>
          <w:b/>
        </w:rPr>
        <w:t>)</w:t>
      </w:r>
      <w:r w:rsidR="004038D3">
        <w:rPr>
          <w:i/>
        </w:rPr>
        <w:t>.</w:t>
      </w:r>
    </w:p>
    <w:p w14:paraId="2AF2AA47" w14:textId="77777777" w:rsidR="00C55EA3" w:rsidRPr="008277E9" w:rsidRDefault="00C55EA3" w:rsidP="00FD015E">
      <w:pPr>
        <w:rPr>
          <w:rFonts w:cs="Arial"/>
          <w:i/>
          <w:szCs w:val="22"/>
        </w:rPr>
      </w:pPr>
    </w:p>
    <w:p w14:paraId="3A7B4195" w14:textId="77777777" w:rsidR="00C55EA3" w:rsidRPr="00E06233" w:rsidRDefault="00C55EA3" w:rsidP="00FD015E">
      <w:pPr>
        <w:pStyle w:val="CDGBBoldArial11"/>
        <w:spacing w:line="240" w:lineRule="auto"/>
      </w:pPr>
      <w:bookmarkStart w:id="15" w:name="_Toc17791508"/>
      <w:bookmarkStart w:id="16" w:name="_Toc37841805"/>
      <w:bookmarkStart w:id="17" w:name="_Toc38100686"/>
      <w:r w:rsidRPr="00E06233">
        <w:t>Notices</w:t>
      </w:r>
      <w:bookmarkEnd w:id="15"/>
      <w:bookmarkEnd w:id="16"/>
      <w:bookmarkEnd w:id="17"/>
    </w:p>
    <w:p w14:paraId="258FB82A" w14:textId="3E94DED0" w:rsidR="00C55EA3" w:rsidRPr="00E06233" w:rsidRDefault="00C55EA3" w:rsidP="00FD015E">
      <w:pPr>
        <w:pStyle w:val="CDGBBODYSTYLE"/>
        <w:spacing w:line="240" w:lineRule="auto"/>
        <w:jc w:val="left"/>
      </w:pPr>
      <w:r w:rsidRPr="00E06233">
        <w:t xml:space="preserve">Any Grant Recipient that employs 15 or more employees must notify all participants, </w:t>
      </w:r>
      <w:r w:rsidR="008277E9" w:rsidRPr="00E06233">
        <w:t>applicants,</w:t>
      </w:r>
      <w:r w:rsidRPr="00E06233">
        <w:t xml:space="preserve"> and employees, including those with impaired vision or hearing, and unions, or professional organizations holding collective bargaining or professional agreements with the Grant Recipient that it does not discriminate </w:t>
      </w:r>
      <w:proofErr w:type="gramStart"/>
      <w:r w:rsidRPr="00E06233">
        <w:t>on the basis of</w:t>
      </w:r>
      <w:proofErr w:type="gramEnd"/>
      <w:r w:rsidRPr="00E06233">
        <w:t xml:space="preserve"> handicap in violation of Section 504. The notice must identify the individual designated to coordinate its Section 504 compliance </w:t>
      </w:r>
      <w:r w:rsidR="00D2290B">
        <w:t xml:space="preserve">(the Civil Rights Officer) </w:t>
      </w:r>
      <w:r w:rsidRPr="00E06233">
        <w:t xml:space="preserve">and must state, where appropriate, that the Grant Recipient does not discriminate in admission or access to, or treatment or employment in, its federally assisted programs. </w:t>
      </w:r>
    </w:p>
    <w:p w14:paraId="1598DE3B" w14:textId="77777777" w:rsidR="00C55EA3" w:rsidRPr="00E06233" w:rsidRDefault="00C55EA3" w:rsidP="00FD015E">
      <w:pPr>
        <w:pStyle w:val="CDGBBODYSTYLE"/>
        <w:spacing w:line="240" w:lineRule="auto"/>
        <w:jc w:val="left"/>
      </w:pPr>
    </w:p>
    <w:p w14:paraId="7FD6968E" w14:textId="77777777" w:rsidR="00C55EA3" w:rsidRPr="00E06233" w:rsidRDefault="00C55EA3" w:rsidP="00FD015E">
      <w:pPr>
        <w:pStyle w:val="CDGBBODYSTYLE"/>
        <w:spacing w:line="240" w:lineRule="auto"/>
        <w:jc w:val="left"/>
      </w:pPr>
      <w:r w:rsidRPr="00E06233">
        <w:t xml:space="preserve">The notification process must ensure that all individuals, including those with visual and hearing impairments, are aware of the non-discrimination pledge. </w:t>
      </w:r>
    </w:p>
    <w:p w14:paraId="665AD43F" w14:textId="77777777" w:rsidR="00C55EA3" w:rsidRPr="00E06233" w:rsidRDefault="00C55EA3" w:rsidP="00FD015E">
      <w:pPr>
        <w:pStyle w:val="CDGBBODYSTYLE"/>
        <w:spacing w:line="240" w:lineRule="auto"/>
        <w:jc w:val="left"/>
      </w:pPr>
    </w:p>
    <w:p w14:paraId="458D6F18" w14:textId="77777777" w:rsidR="00C55EA3" w:rsidRPr="00E06233" w:rsidRDefault="00C55EA3" w:rsidP="00FD015E">
      <w:pPr>
        <w:pStyle w:val="CDGBBODYSTYLE"/>
        <w:spacing w:line="240" w:lineRule="auto"/>
        <w:jc w:val="left"/>
      </w:pPr>
      <w:r w:rsidRPr="00E06233">
        <w:t xml:space="preserve">Any recruitment or informational material published by the Grant Recipient must contain a statement regarding the Grant Recipient's pledge not to discriminate based on disability in violation of 24 CFR Part 8. </w:t>
      </w:r>
    </w:p>
    <w:p w14:paraId="5DEBCF5F" w14:textId="77777777" w:rsidR="00C55EA3" w:rsidRPr="00E06233" w:rsidRDefault="00C55EA3" w:rsidP="00FD015E">
      <w:pPr>
        <w:rPr>
          <w:rFonts w:cs="Arial"/>
          <w:szCs w:val="22"/>
        </w:rPr>
      </w:pPr>
    </w:p>
    <w:p w14:paraId="3A7F5FAE" w14:textId="77777777" w:rsidR="00C55EA3" w:rsidRPr="00E06233" w:rsidRDefault="00C55EA3" w:rsidP="00FD015E">
      <w:pPr>
        <w:pStyle w:val="CDGBBoldArial11"/>
        <w:spacing w:line="240" w:lineRule="auto"/>
      </w:pPr>
      <w:bookmarkStart w:id="18" w:name="_Toc17791509"/>
      <w:bookmarkStart w:id="19" w:name="_Toc37841806"/>
      <w:bookmarkStart w:id="20" w:name="_Toc38100687"/>
      <w:r w:rsidRPr="00E06233">
        <w:t>Self-Evaluation</w:t>
      </w:r>
      <w:bookmarkEnd w:id="18"/>
      <w:bookmarkEnd w:id="19"/>
      <w:bookmarkEnd w:id="20"/>
    </w:p>
    <w:p w14:paraId="43866CD4" w14:textId="002BD3E6" w:rsidR="00C55EA3" w:rsidRPr="00E06233" w:rsidRDefault="00C55EA3" w:rsidP="00FD015E">
      <w:pPr>
        <w:pStyle w:val="CDGBBODYSTYLE"/>
        <w:spacing w:line="240" w:lineRule="auto"/>
        <w:jc w:val="left"/>
        <w:rPr>
          <w:b/>
        </w:rPr>
      </w:pPr>
      <w:r w:rsidRPr="00E06233">
        <w:t xml:space="preserve">During the contract period, all Grant Recipients are required to comply with Section 504 and must complete a self-evaluation of their Section 504 compliance and keep it on file for monitoring purposes. Grant Recipients that have completed a self-evaluation for a previous TxCDBG contract may use their previous self-evaluation forms on file to meet this requirement if all information remains accurate. During the self-evaluation process, the </w:t>
      </w:r>
      <w:r w:rsidRPr="00E06233">
        <w:rPr>
          <w:b/>
          <w:bCs/>
        </w:rPr>
        <w:t>Grant Recipient must consult with individuals with disabilities or organizations representing them</w:t>
      </w:r>
      <w:r w:rsidRPr="00E06233">
        <w:t>.</w:t>
      </w:r>
      <w:r w:rsidR="008277E9">
        <w:t xml:space="preserve"> </w:t>
      </w:r>
      <w:r w:rsidRPr="00E06233">
        <w:t xml:space="preserve">The self-evaluation includes an examination of policies and practices relative to the </w:t>
      </w:r>
      <w:r w:rsidR="00047ED9">
        <w:t xml:space="preserve">Section </w:t>
      </w:r>
      <w:r w:rsidRPr="00E06233">
        <w:t xml:space="preserve">504 regulations. Any policies and practices that do not meet the </w:t>
      </w:r>
      <w:r w:rsidR="00047ED9">
        <w:t xml:space="preserve">Section </w:t>
      </w:r>
      <w:r w:rsidRPr="00E06233">
        <w:t>504 requirements must be modified, and corrective action taken to remedy any discrimination found</w:t>
      </w:r>
      <w:r w:rsidR="004038D3">
        <w:t>, s</w:t>
      </w:r>
      <w:r w:rsidR="004038D3" w:rsidRPr="00E06233">
        <w:t>ee</w:t>
      </w:r>
      <w:r w:rsidR="004038D3">
        <w:t xml:space="preserve"> </w:t>
      </w:r>
      <w:r w:rsidR="004038D3" w:rsidRPr="00E06233">
        <w:rPr>
          <w:i/>
        </w:rPr>
        <w:t xml:space="preserve">Section 504 Self-Evaluation </w:t>
      </w:r>
      <w:r w:rsidR="004038D3">
        <w:rPr>
          <w:i/>
        </w:rPr>
        <w:t>Form</w:t>
      </w:r>
      <w:r w:rsidR="004038D3" w:rsidRPr="00E06233">
        <w:t xml:space="preserve"> </w:t>
      </w:r>
      <w:r w:rsidR="004038D3" w:rsidRPr="001E48E8">
        <w:rPr>
          <w:b/>
          <w:bCs/>
        </w:rPr>
        <w:t>(</w:t>
      </w:r>
      <w:r w:rsidR="004038D3" w:rsidRPr="00E06233">
        <w:rPr>
          <w:b/>
        </w:rPr>
        <w:t>Form A1006</w:t>
      </w:r>
      <w:r w:rsidR="004038D3">
        <w:rPr>
          <w:b/>
        </w:rPr>
        <w:t>)</w:t>
      </w:r>
      <w:r w:rsidR="004038D3" w:rsidRPr="00E06233">
        <w:t>.</w:t>
      </w:r>
      <w:r w:rsidR="004038D3">
        <w:rPr>
          <w:rStyle w:val="FootnoteReference"/>
        </w:rPr>
        <w:footnoteReference w:id="10"/>
      </w:r>
      <w:r w:rsidRPr="00E06233">
        <w:t xml:space="preserve"> </w:t>
      </w:r>
      <w:bookmarkStart w:id="21" w:name="_Toc17791510"/>
      <w:bookmarkStart w:id="22" w:name="_Toc37841807"/>
      <w:bookmarkStart w:id="23" w:name="_Toc38100688"/>
    </w:p>
    <w:p w14:paraId="1709D9F5" w14:textId="30513594" w:rsidR="00C55EA3" w:rsidRDefault="00C55EA3" w:rsidP="00FD015E">
      <w:pPr>
        <w:rPr>
          <w:rFonts w:cs="Arial"/>
          <w:b/>
          <w:szCs w:val="22"/>
        </w:rPr>
      </w:pPr>
    </w:p>
    <w:p w14:paraId="6FFB56C8" w14:textId="77777777" w:rsidR="00C55EA3" w:rsidRPr="00E06233" w:rsidRDefault="00C55EA3" w:rsidP="00FD015E">
      <w:pPr>
        <w:pStyle w:val="CDGBBoldArial11"/>
        <w:spacing w:line="240" w:lineRule="auto"/>
      </w:pPr>
      <w:r w:rsidRPr="00E06233">
        <w:t>Communication</w:t>
      </w:r>
    </w:p>
    <w:p w14:paraId="183D1B23" w14:textId="60F808B7" w:rsidR="00C55EA3" w:rsidRPr="00E06233" w:rsidRDefault="00C55EA3" w:rsidP="00FD015E">
      <w:pPr>
        <w:pStyle w:val="CDGBBODYSTYLE"/>
        <w:spacing w:line="240" w:lineRule="auto"/>
        <w:jc w:val="left"/>
      </w:pPr>
      <w:r w:rsidRPr="00E06233">
        <w:t>Grant Recipients should furnish appropriate auxiliary aids where necessary to allow an individual with disabilities an equal opportunity to participate in all CDBG program activities. Grant Recipients should implement procedures that allow individuals with disabilities to obtain information concerning the existence and location of accessible services, activities</w:t>
      </w:r>
      <w:r w:rsidR="00444C5D">
        <w:t>,</w:t>
      </w:r>
      <w:r w:rsidRPr="00E06233">
        <w:t xml:space="preserve"> and facilities. Such procedures must ensure, to the maximum extent possible, that individuals with disabilities receive the benefits and services of the program or activity receiving CDBG assistance. </w:t>
      </w:r>
    </w:p>
    <w:p w14:paraId="7B46D784" w14:textId="77777777" w:rsidR="00C55EA3" w:rsidRPr="00E06233" w:rsidRDefault="00C55EA3" w:rsidP="00FD015E">
      <w:pPr>
        <w:pStyle w:val="CDGBBODYSTYLE"/>
        <w:spacing w:line="240" w:lineRule="auto"/>
        <w:jc w:val="left"/>
      </w:pPr>
    </w:p>
    <w:p w14:paraId="67C6DFEE" w14:textId="17B6E031" w:rsidR="00C55EA3" w:rsidRPr="00E06233" w:rsidRDefault="00C55EA3" w:rsidP="00FD015E">
      <w:pPr>
        <w:pStyle w:val="CDGBBODYSTYLE"/>
        <w:spacing w:line="240" w:lineRule="auto"/>
        <w:jc w:val="left"/>
      </w:pPr>
      <w:r w:rsidRPr="00F36FEB">
        <w:t xml:space="preserve">Examples of auxiliary aids include telecommunication devices for the deaf (TDD), Text Telephone (TTY), the </w:t>
      </w:r>
      <w:hyperlink r:id="rId15" w:history="1">
        <w:r w:rsidRPr="002865FD">
          <w:rPr>
            <w:rStyle w:val="Hyperlink"/>
            <w:rFonts w:cs="Arial"/>
            <w:color w:val="auto"/>
          </w:rPr>
          <w:t>Texas Relay System</w:t>
        </w:r>
      </w:hyperlink>
      <w:r w:rsidRPr="00F36FEB">
        <w:t xml:space="preserve"> (where a TDD </w:t>
      </w:r>
      <w:r w:rsidRPr="00E06233">
        <w:t xml:space="preserve">is not feasible), audio visual </w:t>
      </w:r>
      <w:r w:rsidR="00767A05" w:rsidRPr="00E06233">
        <w:t>presentations,</w:t>
      </w:r>
      <w:r w:rsidR="00767A05" w:rsidRPr="00E06233">
        <w:rPr>
          <w:rStyle w:val="ptext-18"/>
        </w:rPr>
        <w:t xml:space="preserve"> qualified</w:t>
      </w:r>
      <w:r w:rsidRPr="00E06233">
        <w:rPr>
          <w:rStyle w:val="ptext-18"/>
        </w:rPr>
        <w:t xml:space="preserve"> sign language and oral interpreters, readers, or the use of taped and Braille materials,</w:t>
      </w:r>
      <w:r w:rsidRPr="00E06233">
        <w:t xml:space="preserve"> interpreters, large-lettered notices, and posting notices at a level readable by individuals in wheelchairs. </w:t>
      </w:r>
    </w:p>
    <w:p w14:paraId="5389ACC3" w14:textId="77777777" w:rsidR="00C55EA3" w:rsidRPr="00E06233" w:rsidRDefault="00C55EA3" w:rsidP="00FD015E">
      <w:pPr>
        <w:rPr>
          <w:rFonts w:cs="Arial"/>
          <w:szCs w:val="22"/>
        </w:rPr>
      </w:pPr>
    </w:p>
    <w:bookmarkEnd w:id="21"/>
    <w:bookmarkEnd w:id="22"/>
    <w:bookmarkEnd w:id="23"/>
    <w:p w14:paraId="63B5A5FB" w14:textId="77777777" w:rsidR="00C55EA3" w:rsidRPr="00E06233" w:rsidRDefault="00C55EA3" w:rsidP="00FD015E">
      <w:pPr>
        <w:pStyle w:val="CDGBBoldArial11"/>
        <w:spacing w:line="240" w:lineRule="auto"/>
      </w:pPr>
      <w:r w:rsidRPr="00E06233">
        <w:t>Accessible Facilities</w:t>
      </w:r>
    </w:p>
    <w:p w14:paraId="4AAD72A9" w14:textId="6068E554" w:rsidR="00C55EA3" w:rsidRPr="00E06233" w:rsidRDefault="00C55EA3" w:rsidP="00FD015E">
      <w:pPr>
        <w:pStyle w:val="CDGBBODYSTYLE"/>
        <w:spacing w:line="240" w:lineRule="auto"/>
        <w:jc w:val="left"/>
      </w:pPr>
      <w:r w:rsidRPr="00E06233">
        <w:t>For all publicly-funded construction, renovation, or modification to buildings or facilities</w:t>
      </w:r>
      <w:r w:rsidR="00651C3E">
        <w:t xml:space="preserve"> </w:t>
      </w:r>
      <w:r w:rsidR="00651C3E" w:rsidRPr="00E06233">
        <w:t>in which construction is expected to cost $50,000 or more</w:t>
      </w:r>
      <w:r w:rsidR="00651C3E">
        <w:t xml:space="preserve">, </w:t>
      </w:r>
      <w:r w:rsidRPr="00E06233">
        <w:t>Grant Recipients are required to submit plans and specifications to the Texas Department of Licensing and Regulation (TDLR) for review and approval.</w:t>
      </w:r>
      <w:r w:rsidR="00651C3E">
        <w:rPr>
          <w:rStyle w:val="FootnoteReference"/>
        </w:rPr>
        <w:footnoteReference w:id="11"/>
      </w:r>
      <w:r w:rsidR="00651C3E">
        <w:rPr>
          <w:rStyle w:val="FootnoteReference"/>
        </w:rPr>
        <w:footnoteReference w:id="12"/>
      </w:r>
      <w:r w:rsidR="00651C3E">
        <w:t xml:space="preserve"> </w:t>
      </w:r>
      <w:r w:rsidRPr="00E06233">
        <w:t>TDLR is responsible for ensuring that all plans and specifications meet accessibility requirements in accordance with the elimination of architectural barriers provisions of Chapter 469 of the Texas Government Code. TDLR regulations further require inspection of completed construction of applicable buildings or facilities to ensure compliance with Texas Accessibility Standards. The TDLR clearance requirements are included in the special conditions of all TxCDBG contracts that include public facilities.</w:t>
      </w:r>
    </w:p>
    <w:p w14:paraId="7B14AD7C" w14:textId="77777777" w:rsidR="00C55EA3" w:rsidRPr="00E06233" w:rsidRDefault="00C55EA3" w:rsidP="00FD015E">
      <w:pPr>
        <w:rPr>
          <w:rFonts w:cs="Arial"/>
          <w:b/>
          <w:szCs w:val="22"/>
        </w:rPr>
      </w:pPr>
      <w:bookmarkStart w:id="24" w:name="_Toc17791511"/>
      <w:bookmarkStart w:id="25" w:name="_Toc37841808"/>
      <w:bookmarkStart w:id="26" w:name="_Toc38100689"/>
    </w:p>
    <w:p w14:paraId="6350640F" w14:textId="77777777" w:rsidR="00C55EA3" w:rsidRPr="00E06233" w:rsidRDefault="00C55EA3" w:rsidP="00FD015E">
      <w:pPr>
        <w:pStyle w:val="CDGBBoldArial11"/>
        <w:spacing w:line="240" w:lineRule="auto"/>
      </w:pPr>
      <w:r w:rsidRPr="00E06233">
        <w:t>Employment</w:t>
      </w:r>
      <w:bookmarkEnd w:id="24"/>
      <w:bookmarkEnd w:id="25"/>
      <w:bookmarkEnd w:id="26"/>
    </w:p>
    <w:p w14:paraId="1E1B7096" w14:textId="3829FC42" w:rsidR="00C55EA3" w:rsidRDefault="00C55EA3" w:rsidP="00FD015E">
      <w:pPr>
        <w:pStyle w:val="CDGBBODYSTYLE"/>
        <w:spacing w:line="240" w:lineRule="auto"/>
        <w:ind w:right="90"/>
        <w:jc w:val="left"/>
      </w:pPr>
      <w:r w:rsidRPr="00E06233">
        <w:t>Grant Recipients should not use any practices that unreasonably limit employment opportunities for individuals with disabilities. Grant Recipients must also reasonably accommodate the known needs of employees and applicants with special needs.</w:t>
      </w:r>
      <w:r>
        <w:t xml:space="preserve"> </w:t>
      </w:r>
      <w:r w:rsidRPr="00E06233">
        <w:t>Examples include retrofitting workstations to accommodate wheelchairs and providing special computers for hearing and sight challenged workers.</w:t>
      </w:r>
    </w:p>
    <w:p w14:paraId="0C8DF3C2" w14:textId="77777777" w:rsidR="00913EF0" w:rsidRPr="00E06233" w:rsidRDefault="00913EF0" w:rsidP="00FD015E">
      <w:pPr>
        <w:pStyle w:val="CDGBBODYSTYLE"/>
        <w:spacing w:line="240" w:lineRule="auto"/>
        <w:ind w:right="90"/>
        <w:jc w:val="left"/>
      </w:pPr>
    </w:p>
    <w:p w14:paraId="1A14DFD0" w14:textId="26322750" w:rsidR="005C1A73" w:rsidRDefault="005C1A73" w:rsidP="00FD015E">
      <w:pPr>
        <w:pStyle w:val="Heading2"/>
      </w:pPr>
      <w:bookmarkStart w:id="27" w:name="_Toc123116593"/>
      <w:bookmarkStart w:id="28" w:name="_Toc171791353"/>
      <w:r w:rsidRPr="009F575A">
        <w:t>10.</w:t>
      </w:r>
      <w:r w:rsidR="00F270EC">
        <w:t>1.5</w:t>
      </w:r>
      <w:r w:rsidRPr="009F575A">
        <w:t xml:space="preserve"> Limited English Proficiency</w:t>
      </w:r>
      <w:r w:rsidR="00D07444">
        <w:t xml:space="preserve"> Plan</w:t>
      </w:r>
      <w:bookmarkEnd w:id="27"/>
      <w:bookmarkEnd w:id="28"/>
    </w:p>
    <w:p w14:paraId="1F9B501C" w14:textId="1C28D814" w:rsidR="00E27650" w:rsidRDefault="00E27650" w:rsidP="00FD015E"/>
    <w:p w14:paraId="4768ECB7" w14:textId="77777777" w:rsidR="008E5FED" w:rsidRPr="00F36FEB" w:rsidRDefault="00C55EA3" w:rsidP="00FD015E">
      <w:pPr>
        <w:pStyle w:val="CDGBBODYSTYLE"/>
        <w:spacing w:line="240" w:lineRule="auto"/>
        <w:jc w:val="left"/>
      </w:pPr>
      <w:r w:rsidRPr="00E06233">
        <w:t xml:space="preserve">Each Grant Recipient must take reasonable steps to provide meaningful access to </w:t>
      </w:r>
      <w:proofErr w:type="gramStart"/>
      <w:r w:rsidRPr="00E06233">
        <w:t>federally-funded</w:t>
      </w:r>
      <w:proofErr w:type="gramEnd"/>
      <w:r w:rsidRPr="00E06233">
        <w:t xml:space="preserve"> programs (grants) for all persons with Limited English Proficiency (LEP). Grant Recipients must establish and adopt a </w:t>
      </w:r>
      <w:r w:rsidRPr="00F36FEB">
        <w:t xml:space="preserve">plan for each grant project, determining if there is a need for LEP services within the community and, if applicable, how appropriate language assistance will be given. </w:t>
      </w:r>
    </w:p>
    <w:p w14:paraId="0C2C72F3" w14:textId="77777777" w:rsidR="008E5FED" w:rsidRPr="00F36FEB" w:rsidRDefault="008E5FED" w:rsidP="00FD015E">
      <w:pPr>
        <w:pStyle w:val="CDGBBODYSTYLE"/>
        <w:spacing w:line="240" w:lineRule="auto"/>
        <w:jc w:val="left"/>
      </w:pPr>
    </w:p>
    <w:p w14:paraId="6231CA45" w14:textId="2F86420F" w:rsidR="00C55EA3" w:rsidRPr="00F36FEB" w:rsidRDefault="00C55EA3" w:rsidP="00FD015E">
      <w:pPr>
        <w:pStyle w:val="CDGBBODYSTYLE"/>
        <w:spacing w:line="240" w:lineRule="auto"/>
        <w:jc w:val="left"/>
      </w:pPr>
      <w:r w:rsidRPr="00F36FEB">
        <w:t xml:space="preserve">LEP persons are individuals who do not speak English as their primary language and who have a limited ability to read, write, speak, or understand English. Grant Recipients are encouraged to review </w:t>
      </w:r>
      <w:hyperlink r:id="rId16" w:anchor="q6" w:history="1">
        <w:r w:rsidRPr="002865FD">
          <w:rPr>
            <w:rStyle w:val="Hyperlink"/>
            <w:rFonts w:cs="Arial"/>
            <w:color w:val="auto"/>
          </w:rPr>
          <w:t>HUD’s Frequently Asked Questions</w:t>
        </w:r>
      </w:hyperlink>
      <w:r w:rsidRPr="00F36FEB">
        <w:t xml:space="preserve"> (FAQ) website to understand the expectations and purpose of LEP when evaluating the appropriate provisions for a TxCDBG project. </w:t>
      </w:r>
    </w:p>
    <w:p w14:paraId="564C57DD" w14:textId="43A5A36D" w:rsidR="00C55EA3" w:rsidRPr="00F36FEB" w:rsidRDefault="00C55EA3" w:rsidP="00FD015E">
      <w:pPr>
        <w:pStyle w:val="CDGBBODYSTYLE"/>
        <w:spacing w:line="240" w:lineRule="auto"/>
        <w:jc w:val="left"/>
      </w:pPr>
    </w:p>
    <w:p w14:paraId="58EEB60E" w14:textId="18CCCEE4" w:rsidR="008E5FED" w:rsidRPr="00F36FEB" w:rsidRDefault="00413311" w:rsidP="00FD015E">
      <w:pPr>
        <w:pStyle w:val="CDGBBullets-1stindent"/>
        <w:numPr>
          <w:ilvl w:val="0"/>
          <w:numId w:val="0"/>
        </w:numPr>
        <w:spacing w:line="240" w:lineRule="auto"/>
      </w:pPr>
      <w:r w:rsidRPr="00F36FEB">
        <w:t>Identifying requirements for</w:t>
      </w:r>
      <w:r w:rsidR="00FF52BE" w:rsidRPr="00F36FEB">
        <w:t xml:space="preserve"> providing</w:t>
      </w:r>
      <w:r w:rsidR="008E5FED" w:rsidRPr="00F36FEB">
        <w:t xml:space="preserve"> LEP services requires a </w:t>
      </w:r>
      <w:r w:rsidR="008E5FED" w:rsidRPr="00F36FEB">
        <w:rPr>
          <w:b/>
          <w:bCs w:val="0"/>
        </w:rPr>
        <w:t>four-factor analysis</w:t>
      </w:r>
      <w:r w:rsidR="008E5FED" w:rsidRPr="00F36FEB">
        <w:t xml:space="preserve">: </w:t>
      </w:r>
    </w:p>
    <w:p w14:paraId="58CB0F5A" w14:textId="77777777" w:rsidR="008E5FED" w:rsidRPr="00F36FEB" w:rsidRDefault="008E5FED" w:rsidP="0028218E">
      <w:pPr>
        <w:pStyle w:val="CDGBBullets-1stindent"/>
        <w:numPr>
          <w:ilvl w:val="0"/>
          <w:numId w:val="2"/>
        </w:numPr>
        <w:spacing w:line="240" w:lineRule="auto"/>
        <w:ind w:left="720"/>
      </w:pPr>
      <w:r w:rsidRPr="00F36FEB">
        <w:t xml:space="preserve">The number or proportion of LEP persons served or encountered in the eligible service population. </w:t>
      </w:r>
      <w:r w:rsidRPr="00F36FEB">
        <w:rPr>
          <w:b/>
          <w:bCs w:val="0"/>
        </w:rPr>
        <w:t>Served</w:t>
      </w:r>
      <w:r w:rsidRPr="00F36FEB">
        <w:t xml:space="preserve"> or </w:t>
      </w:r>
      <w:r w:rsidRPr="00F36FEB">
        <w:rPr>
          <w:b/>
          <w:bCs w:val="0"/>
        </w:rPr>
        <w:t>encountered</w:t>
      </w:r>
      <w:r w:rsidRPr="00F36FEB">
        <w:t xml:space="preserve"> includes those persons who would be served or encountered by the recipient if the persons received adequate education and outreach and the recipient provided sufficient language </w:t>
      </w:r>
      <w:proofErr w:type="gramStart"/>
      <w:r w:rsidRPr="00F36FEB">
        <w:t>services;</w:t>
      </w:r>
      <w:proofErr w:type="gramEnd"/>
      <w:r w:rsidRPr="00F36FEB">
        <w:t xml:space="preserve"> </w:t>
      </w:r>
    </w:p>
    <w:p w14:paraId="0118C87D" w14:textId="77777777" w:rsidR="008E5FED" w:rsidRPr="00F36FEB" w:rsidRDefault="008E5FED" w:rsidP="0028218E">
      <w:pPr>
        <w:pStyle w:val="CDGBBullets-1stindent"/>
        <w:numPr>
          <w:ilvl w:val="0"/>
          <w:numId w:val="2"/>
        </w:numPr>
        <w:spacing w:line="240" w:lineRule="auto"/>
        <w:ind w:left="720"/>
      </w:pPr>
      <w:r w:rsidRPr="00F36FEB">
        <w:t xml:space="preserve">The frequency with which LEP persons come into contact with the </w:t>
      </w:r>
      <w:proofErr w:type="gramStart"/>
      <w:r w:rsidRPr="00F36FEB">
        <w:t>program;</w:t>
      </w:r>
      <w:proofErr w:type="gramEnd"/>
      <w:r w:rsidRPr="00F36FEB">
        <w:t xml:space="preserve"> </w:t>
      </w:r>
    </w:p>
    <w:p w14:paraId="2ED02041" w14:textId="77777777" w:rsidR="008E5FED" w:rsidRPr="00F36FEB" w:rsidRDefault="008E5FED" w:rsidP="0028218E">
      <w:pPr>
        <w:pStyle w:val="CDGBBullets-1stindent"/>
        <w:numPr>
          <w:ilvl w:val="0"/>
          <w:numId w:val="2"/>
        </w:numPr>
        <w:spacing w:line="240" w:lineRule="auto"/>
        <w:ind w:left="720"/>
      </w:pPr>
      <w:r w:rsidRPr="00F36FEB">
        <w:t xml:space="preserve">The nature and importance of the program, activity, or service provided by the program; and  </w:t>
      </w:r>
    </w:p>
    <w:p w14:paraId="017223FA" w14:textId="77777777" w:rsidR="008E5FED" w:rsidRPr="00F36FEB" w:rsidRDefault="008E5FED" w:rsidP="0028218E">
      <w:pPr>
        <w:pStyle w:val="CDGBBullets-1stindent"/>
        <w:numPr>
          <w:ilvl w:val="0"/>
          <w:numId w:val="2"/>
        </w:numPr>
        <w:spacing w:line="240" w:lineRule="auto"/>
        <w:ind w:left="720"/>
      </w:pPr>
      <w:r w:rsidRPr="00F36FEB">
        <w:t>The resources available and costs to the recipient.</w:t>
      </w:r>
    </w:p>
    <w:p w14:paraId="2C050DCA" w14:textId="77777777" w:rsidR="008E5FED" w:rsidRPr="00F36FEB" w:rsidRDefault="008E5FED" w:rsidP="00FD015E">
      <w:pPr>
        <w:pStyle w:val="CDGBBODYSTYLE"/>
        <w:spacing w:line="240" w:lineRule="auto"/>
        <w:jc w:val="left"/>
      </w:pPr>
    </w:p>
    <w:p w14:paraId="63F6BCFD" w14:textId="79376619" w:rsidR="00FF52BE" w:rsidRPr="002E14AC" w:rsidRDefault="00FF52BE" w:rsidP="00FD015E">
      <w:pPr>
        <w:pStyle w:val="CDGBBODYSTYLE"/>
        <w:spacing w:line="240" w:lineRule="auto"/>
        <w:jc w:val="left"/>
      </w:pPr>
      <w:r w:rsidRPr="00F36FEB">
        <w:t>Sa</w:t>
      </w:r>
      <w:r w:rsidR="00C55EA3" w:rsidRPr="00F36FEB">
        <w:t>fe harbor guidance</w:t>
      </w:r>
      <w:r w:rsidR="00204969" w:rsidRPr="00F36FEB">
        <w:t>—</w:t>
      </w:r>
      <w:r w:rsidRPr="00F36FEB">
        <w:t>which</w:t>
      </w:r>
      <w:r w:rsidR="00C55EA3" w:rsidRPr="00F36FEB">
        <w:t xml:space="preserve"> identifies actions that will be considered strong evidence of compliance</w:t>
      </w:r>
      <w:r w:rsidR="00204969" w:rsidRPr="00F36FEB">
        <w:t>—</w:t>
      </w:r>
      <w:r w:rsidRPr="00F36FEB">
        <w:t xml:space="preserve">for </w:t>
      </w:r>
      <w:r w:rsidR="00413311" w:rsidRPr="00F36FEB">
        <w:t>the first factor</w:t>
      </w:r>
      <w:r w:rsidRPr="00F36FEB">
        <w:t xml:space="preserve"> is published by the</w:t>
      </w:r>
      <w:r w:rsidR="00C55EA3" w:rsidRPr="00F36FEB">
        <w:t xml:space="preserve"> </w:t>
      </w:r>
      <w:r w:rsidR="00767A05" w:rsidRPr="00767A05">
        <w:t>U.S. Department of Justice</w:t>
      </w:r>
      <w:r w:rsidRPr="002865FD">
        <w:rPr>
          <w:rStyle w:val="Hyperlink"/>
          <w:rFonts w:cs="Arial"/>
          <w:color w:val="auto"/>
        </w:rPr>
        <w:t xml:space="preserve"> </w:t>
      </w:r>
      <w:r w:rsidRPr="00F36FEB">
        <w:t>and u</w:t>
      </w:r>
      <w:r w:rsidR="009221DB" w:rsidRPr="00F36FEB">
        <w:t>se</w:t>
      </w:r>
      <w:r w:rsidRPr="00F36FEB">
        <w:t>s</w:t>
      </w:r>
      <w:r w:rsidR="009221DB" w:rsidRPr="00F36FEB">
        <w:t xml:space="preserve"> the Census Bureau data found at </w:t>
      </w:r>
      <w:hyperlink r:id="rId17" w:history="1">
        <w:r w:rsidR="009221DB" w:rsidRPr="002E14AC">
          <w:rPr>
            <w:rStyle w:val="Hyperlink"/>
            <w:rFonts w:cs="Arial"/>
            <w:color w:val="auto"/>
          </w:rPr>
          <w:t>https://</w:t>
        </w:r>
        <w:bookmarkStart w:id="29" w:name="_Hlk41477187"/>
        <w:r w:rsidR="009221DB" w:rsidRPr="002E14AC">
          <w:rPr>
            <w:rStyle w:val="Hyperlink"/>
            <w:rFonts w:cs="Arial"/>
            <w:color w:val="auto"/>
          </w:rPr>
          <w:t>data.census.gov</w:t>
        </w:r>
        <w:bookmarkEnd w:id="29"/>
        <w:r w:rsidR="009221DB" w:rsidRPr="002E14AC">
          <w:rPr>
            <w:rStyle w:val="Hyperlink"/>
            <w:rFonts w:cs="Arial"/>
            <w:color w:val="auto"/>
          </w:rPr>
          <w:t>/</w:t>
        </w:r>
      </w:hyperlink>
      <w:r w:rsidR="009221DB" w:rsidRPr="002E14AC">
        <w:t xml:space="preserve">. </w:t>
      </w:r>
    </w:p>
    <w:p w14:paraId="6E5C507D" w14:textId="77777777" w:rsidR="00CB4921" w:rsidRPr="002E14AC" w:rsidRDefault="00F47531" w:rsidP="0028218E">
      <w:pPr>
        <w:pStyle w:val="CDGBBullets-1stindent"/>
        <w:numPr>
          <w:ilvl w:val="0"/>
          <w:numId w:val="24"/>
        </w:numPr>
        <w:spacing w:line="240" w:lineRule="auto"/>
        <w:ind w:left="720"/>
      </w:pPr>
      <w:r w:rsidRPr="002E14AC">
        <w:t xml:space="preserve">To determine the local need for LEP services, subrecipient may use the American </w:t>
      </w:r>
      <w:proofErr w:type="spellStart"/>
      <w:r w:rsidRPr="002E14AC">
        <w:t>FactFinder</w:t>
      </w:r>
      <w:proofErr w:type="spellEnd"/>
      <w:r w:rsidRPr="002E14AC">
        <w:t xml:space="preserve"> (https://data.census.gov/cedsci/). </w:t>
      </w:r>
    </w:p>
    <w:p w14:paraId="1EC80585" w14:textId="77777777" w:rsidR="00CB4921" w:rsidRPr="002E14AC" w:rsidRDefault="00F47531" w:rsidP="0028218E">
      <w:pPr>
        <w:pStyle w:val="CDGBBullets-1stindent"/>
        <w:numPr>
          <w:ilvl w:val="0"/>
          <w:numId w:val="24"/>
        </w:numPr>
        <w:spacing w:line="240" w:lineRule="auto"/>
        <w:ind w:left="720"/>
      </w:pPr>
      <w:r w:rsidRPr="002E14AC">
        <w:t xml:space="preserve">Type in the federally funded project’s location (e.g. city or county name) and select ‘go’; then, on left side of screen, choose ‘Origins and Language’; then ‘Selected Social Characteristics’ (DP02). Next, scroll to ‘Language Spoken at Home’ and review the number or percent of ‘Speaks English less than very well’ under the subcategories of Spanish, Other Indo-European languages, and </w:t>
      </w:r>
      <w:proofErr w:type="gramStart"/>
      <w:r w:rsidRPr="002E14AC">
        <w:t>Other</w:t>
      </w:r>
      <w:proofErr w:type="gramEnd"/>
      <w:r w:rsidRPr="002E14AC">
        <w:t xml:space="preserve"> languages.</w:t>
      </w:r>
      <w:r w:rsidR="00651C3E" w:rsidRPr="002E14AC">
        <w:t xml:space="preserve"> </w:t>
      </w:r>
    </w:p>
    <w:p w14:paraId="547C5125" w14:textId="059B5FF9" w:rsidR="009221DB" w:rsidRPr="00F36FEB" w:rsidRDefault="00CB4921" w:rsidP="0028218E">
      <w:pPr>
        <w:pStyle w:val="CDGBBullets-1stindent"/>
        <w:numPr>
          <w:ilvl w:val="0"/>
          <w:numId w:val="24"/>
        </w:numPr>
        <w:spacing w:line="240" w:lineRule="auto"/>
        <w:ind w:left="720"/>
      </w:pPr>
      <w:r w:rsidRPr="002E14AC">
        <w:rPr>
          <w:bCs w:val="0"/>
        </w:rPr>
        <w:t xml:space="preserve">Other </w:t>
      </w:r>
      <w:r w:rsidRPr="002E14AC">
        <w:t xml:space="preserve">American </w:t>
      </w:r>
      <w:proofErr w:type="spellStart"/>
      <w:r w:rsidRPr="002E14AC">
        <w:t>FactFinder</w:t>
      </w:r>
      <w:proofErr w:type="spellEnd"/>
      <w:r w:rsidRPr="002E14AC">
        <w:t xml:space="preserve"> </w:t>
      </w:r>
      <w:r w:rsidRPr="002E14AC">
        <w:rPr>
          <w:bCs w:val="0"/>
        </w:rPr>
        <w:t xml:space="preserve">data tables that provide similar information are S1601, B16001, B16002, and C16001 - if one of these sources is used, please note the table number on the Group A Performance Report.  </w:t>
      </w:r>
      <w:proofErr w:type="gramStart"/>
      <w:r w:rsidR="009221DB" w:rsidRPr="002E14AC">
        <w:t>As a general rule</w:t>
      </w:r>
      <w:proofErr w:type="gramEnd"/>
      <w:r w:rsidR="009221DB" w:rsidRPr="002E14AC">
        <w:t xml:space="preserve">, </w:t>
      </w:r>
      <w:r w:rsidR="009221DB" w:rsidRPr="00E06233">
        <w:t xml:space="preserve">if the size of the language group is more than 5% of the eligible population or beneficiaries and has more than 50 in number, or if the language group has more than 1,000 individuals in the eligible population in the market area or among current beneficiaries, then vital documents must be translated. </w:t>
      </w:r>
    </w:p>
    <w:p w14:paraId="247FCF02" w14:textId="51F96E5E" w:rsidR="009221DB" w:rsidRPr="00F36FEB" w:rsidRDefault="009221DB" w:rsidP="0028218E">
      <w:pPr>
        <w:pStyle w:val="CDGBBullets-1stindent"/>
        <w:numPr>
          <w:ilvl w:val="0"/>
          <w:numId w:val="24"/>
        </w:numPr>
        <w:spacing w:line="240" w:lineRule="auto"/>
        <w:ind w:left="720"/>
      </w:pPr>
      <w:r w:rsidRPr="00F36FEB">
        <w:t xml:space="preserve">Language groups should not be aggregated together. If </w:t>
      </w:r>
      <w:hyperlink r:id="rId18" w:history="1">
        <w:r w:rsidRPr="002865FD">
          <w:t>https://data.census.gov/</w:t>
        </w:r>
      </w:hyperlink>
      <w:r w:rsidRPr="00F36FEB">
        <w:t xml:space="preserve"> indicates that less than 5% of the community population speaks English less than very well, the Grant Recipient must use its knowledge of the project beneficiaries to determine whether language assistance may still be needed. </w:t>
      </w:r>
    </w:p>
    <w:p w14:paraId="69101974" w14:textId="2C3F9170" w:rsidR="009221DB" w:rsidRPr="00F36FEB" w:rsidRDefault="009221DB" w:rsidP="0028218E">
      <w:pPr>
        <w:pStyle w:val="CDGBBullets-1stindent"/>
        <w:numPr>
          <w:ilvl w:val="0"/>
          <w:numId w:val="24"/>
        </w:numPr>
        <w:spacing w:line="240" w:lineRule="auto"/>
        <w:ind w:left="720"/>
      </w:pPr>
      <w:r w:rsidRPr="00F36FEB">
        <w:t xml:space="preserve">In addition, consider whether the project </w:t>
      </w:r>
      <w:proofErr w:type="gramStart"/>
      <w:r w:rsidRPr="00F36FEB">
        <w:t>is located in</w:t>
      </w:r>
      <w:proofErr w:type="gramEnd"/>
      <w:r w:rsidRPr="00F36FEB">
        <w:t xml:space="preserve"> an area of the community that is more likely to include LEP residents than the jurisdiction overall – if so, services must be provided. </w:t>
      </w:r>
    </w:p>
    <w:p w14:paraId="7DFA8D21" w14:textId="77777777" w:rsidR="003D4334" w:rsidRDefault="003D4334" w:rsidP="003D4334">
      <w:pPr>
        <w:jc w:val="center"/>
        <w:textAlignment w:val="baseline"/>
        <w:rPr>
          <w:rFonts w:cs="Arial"/>
          <w:b/>
          <w:bCs/>
          <w:sz w:val="28"/>
          <w:szCs w:val="28"/>
        </w:rPr>
      </w:pPr>
    </w:p>
    <w:p w14:paraId="1D5F6736" w14:textId="224A683D" w:rsidR="003D4334" w:rsidRPr="003D4334" w:rsidRDefault="003D4334" w:rsidP="003D4334">
      <w:pPr>
        <w:textAlignment w:val="baseline"/>
        <w:rPr>
          <w:rFonts w:ascii="Segoe UI" w:hAnsi="Segoe UI" w:cs="Segoe UI"/>
          <w:sz w:val="18"/>
          <w:szCs w:val="18"/>
        </w:rPr>
      </w:pPr>
    </w:p>
    <w:tbl>
      <w:tblPr>
        <w:tblW w:w="9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2319"/>
        <w:gridCol w:w="2648"/>
        <w:gridCol w:w="3005"/>
      </w:tblGrid>
      <w:tr w:rsidR="003D4334" w:rsidRPr="003D4334" w14:paraId="5197A2E8" w14:textId="77777777" w:rsidTr="003D4334">
        <w:trPr>
          <w:trHeight w:val="300"/>
        </w:trPr>
        <w:tc>
          <w:tcPr>
            <w:tcW w:w="9920" w:type="dxa"/>
            <w:gridSpan w:val="4"/>
            <w:tcBorders>
              <w:top w:val="single" w:sz="6" w:space="0" w:color="auto"/>
              <w:left w:val="single" w:sz="6" w:space="0" w:color="auto"/>
              <w:bottom w:val="single" w:sz="6" w:space="0" w:color="auto"/>
              <w:right w:val="single" w:sz="6" w:space="0" w:color="auto"/>
            </w:tcBorders>
            <w:shd w:val="clear" w:color="auto" w:fill="auto"/>
          </w:tcPr>
          <w:p w14:paraId="6A264DD4" w14:textId="77777777" w:rsidR="003D4334" w:rsidRPr="00056AA6" w:rsidRDefault="003D4334" w:rsidP="003D4334">
            <w:pPr>
              <w:pStyle w:val="Default"/>
              <w:rPr>
                <w:rFonts w:ascii="Arial" w:eastAsiaTheme="minorHAnsi" w:hAnsi="Arial" w:cs="Arial"/>
                <w:b/>
                <w:color w:val="auto"/>
                <w:sz w:val="22"/>
                <w:szCs w:val="22"/>
              </w:rPr>
            </w:pPr>
            <w:r w:rsidRPr="00056AA6">
              <w:rPr>
                <w:rFonts w:ascii="Arial" w:eastAsiaTheme="minorHAnsi" w:hAnsi="Arial" w:cs="Arial"/>
                <w:b/>
                <w:color w:val="auto"/>
                <w:sz w:val="22"/>
                <w:szCs w:val="22"/>
              </w:rPr>
              <w:t>Limited English Proficiency Safe Harbor Guide </w:t>
            </w:r>
          </w:p>
          <w:p w14:paraId="3D3FBF38" w14:textId="158F9CA7" w:rsidR="003D4334" w:rsidRPr="00056AA6" w:rsidRDefault="003D4334" w:rsidP="003D4334">
            <w:pPr>
              <w:pStyle w:val="Default"/>
              <w:rPr>
                <w:rFonts w:ascii="Arial" w:eastAsiaTheme="minorHAnsi" w:hAnsi="Arial" w:cs="Arial"/>
                <w:b/>
                <w:color w:val="auto"/>
                <w:sz w:val="22"/>
                <w:szCs w:val="22"/>
              </w:rPr>
            </w:pPr>
          </w:p>
        </w:tc>
      </w:tr>
      <w:tr w:rsidR="003D4334" w:rsidRPr="003D4334" w14:paraId="21707CAF" w14:textId="77777777" w:rsidTr="003D4334">
        <w:trPr>
          <w:trHeight w:val="300"/>
        </w:trPr>
        <w:tc>
          <w:tcPr>
            <w:tcW w:w="42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073C62" w14:textId="659157C4" w:rsidR="003D4334" w:rsidRPr="00056AA6" w:rsidRDefault="003D4334" w:rsidP="003D4334">
            <w:pPr>
              <w:textAlignment w:val="baseline"/>
              <w:rPr>
                <w:rFonts w:ascii="Times New Roman" w:hAnsi="Times New Roman"/>
                <w:sz w:val="24"/>
              </w:rPr>
            </w:pPr>
            <w:r w:rsidRPr="00056AA6">
              <w:rPr>
                <w:rFonts w:ascii="Calibri" w:hAnsi="Calibri" w:cs="Calibri"/>
                <w:b/>
                <w:bCs/>
                <w:szCs w:val="22"/>
              </w:rPr>
              <w:t xml:space="preserve">Community Characteristic per </w:t>
            </w:r>
            <w:r w:rsidRPr="00056AA6">
              <w:rPr>
                <w:rFonts w:cs="Arial"/>
                <w:b/>
                <w:bCs/>
                <w:sz w:val="20"/>
                <w:szCs w:val="20"/>
              </w:rPr>
              <w:t>Census Table</w:t>
            </w:r>
            <w:r w:rsidRPr="00056AA6">
              <w:rPr>
                <w:rFonts w:cs="Arial"/>
                <w:sz w:val="20"/>
                <w:szCs w:val="20"/>
              </w:rPr>
              <w:t> </w:t>
            </w:r>
          </w:p>
        </w:tc>
        <w:tc>
          <w:tcPr>
            <w:tcW w:w="5653" w:type="dxa"/>
            <w:gridSpan w:val="2"/>
            <w:tcBorders>
              <w:top w:val="single" w:sz="6" w:space="0" w:color="auto"/>
              <w:left w:val="nil"/>
              <w:bottom w:val="single" w:sz="6" w:space="0" w:color="auto"/>
              <w:right w:val="single" w:sz="6" w:space="0" w:color="auto"/>
            </w:tcBorders>
            <w:shd w:val="clear" w:color="auto" w:fill="auto"/>
            <w:hideMark/>
          </w:tcPr>
          <w:p w14:paraId="60A47D87" w14:textId="77777777" w:rsidR="003D4334" w:rsidRPr="00056AA6" w:rsidRDefault="003D4334" w:rsidP="003D4334">
            <w:pPr>
              <w:textAlignment w:val="baseline"/>
              <w:rPr>
                <w:rFonts w:ascii="Times New Roman" w:hAnsi="Times New Roman"/>
                <w:sz w:val="24"/>
              </w:rPr>
            </w:pPr>
            <w:r w:rsidRPr="00056AA6">
              <w:rPr>
                <w:rFonts w:ascii="Calibri" w:hAnsi="Calibri" w:cs="Calibri"/>
                <w:b/>
                <w:bCs/>
                <w:szCs w:val="22"/>
              </w:rPr>
              <w:t>Minimum EP Assistance Required*</w:t>
            </w:r>
            <w:r w:rsidRPr="00056AA6">
              <w:rPr>
                <w:rFonts w:ascii="Calibri" w:hAnsi="Calibri" w:cs="Calibri"/>
                <w:szCs w:val="22"/>
              </w:rPr>
              <w:t> </w:t>
            </w:r>
          </w:p>
        </w:tc>
      </w:tr>
      <w:tr w:rsidR="003D4334" w:rsidRPr="003D4334" w14:paraId="4870B29E" w14:textId="77777777" w:rsidTr="003D4334">
        <w:trPr>
          <w:trHeight w:val="300"/>
        </w:trPr>
        <w:tc>
          <w:tcPr>
            <w:tcW w:w="1948" w:type="dxa"/>
            <w:tcBorders>
              <w:top w:val="nil"/>
              <w:left w:val="single" w:sz="6" w:space="0" w:color="auto"/>
              <w:bottom w:val="single" w:sz="6" w:space="0" w:color="auto"/>
              <w:right w:val="single" w:sz="6" w:space="0" w:color="auto"/>
            </w:tcBorders>
            <w:shd w:val="clear" w:color="auto" w:fill="auto"/>
            <w:hideMark/>
          </w:tcPr>
          <w:p w14:paraId="736C1AD7" w14:textId="77777777" w:rsidR="003D4334" w:rsidRPr="00056AA6" w:rsidRDefault="003D4334" w:rsidP="003D4334">
            <w:pPr>
              <w:textAlignment w:val="baseline"/>
              <w:rPr>
                <w:rFonts w:ascii="Times New Roman" w:hAnsi="Times New Roman"/>
                <w:sz w:val="24"/>
              </w:rPr>
            </w:pPr>
            <w:r w:rsidRPr="00056AA6">
              <w:rPr>
                <w:rFonts w:ascii="Calibri" w:hAnsi="Calibri" w:cs="Calibri"/>
                <w:b/>
                <w:bCs/>
                <w:szCs w:val="22"/>
              </w:rPr>
              <w:t>Number of Persons in the Language Group that speak English “less than very well”</w:t>
            </w:r>
            <w:r w:rsidRPr="00056AA6">
              <w:rPr>
                <w:rFonts w:ascii="Calibri" w:hAnsi="Calibri" w:cs="Calibri"/>
                <w:szCs w:val="22"/>
              </w:rPr>
              <w:t> </w:t>
            </w:r>
          </w:p>
        </w:tc>
        <w:tc>
          <w:tcPr>
            <w:tcW w:w="2319" w:type="dxa"/>
            <w:tcBorders>
              <w:top w:val="nil"/>
              <w:left w:val="nil"/>
              <w:bottom w:val="single" w:sz="6" w:space="0" w:color="auto"/>
              <w:right w:val="single" w:sz="6" w:space="0" w:color="auto"/>
            </w:tcBorders>
            <w:shd w:val="clear" w:color="auto" w:fill="auto"/>
            <w:hideMark/>
          </w:tcPr>
          <w:p w14:paraId="154E9F12" w14:textId="77777777" w:rsidR="003D4334" w:rsidRPr="00056AA6" w:rsidRDefault="003D4334" w:rsidP="003D4334">
            <w:pPr>
              <w:textAlignment w:val="baseline"/>
              <w:rPr>
                <w:rFonts w:ascii="Times New Roman" w:hAnsi="Times New Roman"/>
                <w:sz w:val="24"/>
              </w:rPr>
            </w:pPr>
            <w:r w:rsidRPr="00056AA6">
              <w:rPr>
                <w:rFonts w:ascii="Calibri" w:hAnsi="Calibri" w:cs="Calibri"/>
                <w:b/>
                <w:bCs/>
                <w:szCs w:val="22"/>
              </w:rPr>
              <w:t>Percent of Total community population that are also persons in the Language Group that speak English “less than very well”</w:t>
            </w:r>
            <w:r w:rsidRPr="00056AA6">
              <w:rPr>
                <w:rFonts w:ascii="Calibri" w:hAnsi="Calibri" w:cs="Calibri"/>
                <w:szCs w:val="22"/>
              </w:rPr>
              <w:t> </w:t>
            </w:r>
          </w:p>
        </w:tc>
        <w:tc>
          <w:tcPr>
            <w:tcW w:w="2648" w:type="dxa"/>
            <w:tcBorders>
              <w:top w:val="nil"/>
              <w:left w:val="nil"/>
              <w:bottom w:val="single" w:sz="6" w:space="0" w:color="auto"/>
              <w:right w:val="single" w:sz="6" w:space="0" w:color="auto"/>
            </w:tcBorders>
            <w:shd w:val="clear" w:color="auto" w:fill="auto"/>
            <w:hideMark/>
          </w:tcPr>
          <w:p w14:paraId="04393DD9" w14:textId="77777777" w:rsidR="003D4334" w:rsidRPr="00056AA6" w:rsidRDefault="003D4334" w:rsidP="003D4334">
            <w:pPr>
              <w:textAlignment w:val="baseline"/>
              <w:rPr>
                <w:rFonts w:ascii="Times New Roman" w:hAnsi="Times New Roman"/>
                <w:sz w:val="24"/>
              </w:rPr>
            </w:pPr>
            <w:r w:rsidRPr="00056AA6">
              <w:rPr>
                <w:rFonts w:ascii="Calibri" w:hAnsi="Calibri" w:cs="Calibri"/>
                <w:b/>
                <w:bCs/>
                <w:szCs w:val="22"/>
              </w:rPr>
              <w:t>Published Notice regarding Vital Document</w:t>
            </w:r>
            <w:r w:rsidRPr="00056AA6">
              <w:rPr>
                <w:rFonts w:ascii="Calibri" w:hAnsi="Calibri" w:cs="Calibri"/>
                <w:szCs w:val="22"/>
              </w:rPr>
              <w:t> </w:t>
            </w:r>
          </w:p>
        </w:tc>
        <w:tc>
          <w:tcPr>
            <w:tcW w:w="3005" w:type="dxa"/>
            <w:tcBorders>
              <w:top w:val="nil"/>
              <w:left w:val="nil"/>
              <w:bottom w:val="single" w:sz="6" w:space="0" w:color="auto"/>
              <w:right w:val="single" w:sz="6" w:space="0" w:color="auto"/>
            </w:tcBorders>
            <w:shd w:val="clear" w:color="auto" w:fill="auto"/>
            <w:hideMark/>
          </w:tcPr>
          <w:p w14:paraId="23066C2D" w14:textId="77777777" w:rsidR="003D4334" w:rsidRPr="00056AA6" w:rsidRDefault="003D4334" w:rsidP="003D4334">
            <w:pPr>
              <w:textAlignment w:val="baseline"/>
              <w:rPr>
                <w:rFonts w:ascii="Times New Roman" w:hAnsi="Times New Roman"/>
                <w:sz w:val="24"/>
              </w:rPr>
            </w:pPr>
            <w:r w:rsidRPr="00056AA6">
              <w:rPr>
                <w:rFonts w:ascii="Calibri" w:hAnsi="Calibri" w:cs="Calibri"/>
                <w:b/>
                <w:bCs/>
                <w:szCs w:val="22"/>
              </w:rPr>
              <w:t>Vital Document</w:t>
            </w:r>
            <w:r w:rsidRPr="00056AA6">
              <w:rPr>
                <w:rFonts w:ascii="Calibri" w:hAnsi="Calibri" w:cs="Calibri"/>
                <w:szCs w:val="22"/>
              </w:rPr>
              <w:t> </w:t>
            </w:r>
          </w:p>
        </w:tc>
      </w:tr>
      <w:tr w:rsidR="003D4334" w:rsidRPr="003D4334" w14:paraId="7F4E8F5A" w14:textId="77777777" w:rsidTr="003D4334">
        <w:trPr>
          <w:trHeight w:val="300"/>
        </w:trPr>
        <w:tc>
          <w:tcPr>
            <w:tcW w:w="1948" w:type="dxa"/>
            <w:tcBorders>
              <w:top w:val="nil"/>
              <w:left w:val="single" w:sz="6" w:space="0" w:color="auto"/>
              <w:bottom w:val="single" w:sz="6" w:space="0" w:color="auto"/>
              <w:right w:val="single" w:sz="6" w:space="0" w:color="auto"/>
            </w:tcBorders>
            <w:shd w:val="clear" w:color="auto" w:fill="auto"/>
            <w:hideMark/>
          </w:tcPr>
          <w:p w14:paraId="2681410D"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1000 </w:t>
            </w:r>
          </w:p>
        </w:tc>
        <w:tc>
          <w:tcPr>
            <w:tcW w:w="2319" w:type="dxa"/>
            <w:tcBorders>
              <w:top w:val="nil"/>
              <w:left w:val="nil"/>
              <w:bottom w:val="single" w:sz="6" w:space="0" w:color="auto"/>
              <w:right w:val="single" w:sz="6" w:space="0" w:color="auto"/>
            </w:tcBorders>
            <w:shd w:val="clear" w:color="auto" w:fill="auto"/>
            <w:hideMark/>
          </w:tcPr>
          <w:p w14:paraId="47A9478B"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10% or more  </w:t>
            </w:r>
          </w:p>
        </w:tc>
        <w:tc>
          <w:tcPr>
            <w:tcW w:w="2648" w:type="dxa"/>
            <w:tcBorders>
              <w:top w:val="nil"/>
              <w:left w:val="nil"/>
              <w:bottom w:val="single" w:sz="6" w:space="0" w:color="auto"/>
              <w:right w:val="single" w:sz="6" w:space="0" w:color="auto"/>
            </w:tcBorders>
            <w:shd w:val="clear" w:color="auto" w:fill="auto"/>
            <w:hideMark/>
          </w:tcPr>
          <w:p w14:paraId="442A85B3"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Fully translated notice </w:t>
            </w:r>
          </w:p>
        </w:tc>
        <w:tc>
          <w:tcPr>
            <w:tcW w:w="3005" w:type="dxa"/>
            <w:tcBorders>
              <w:top w:val="nil"/>
              <w:left w:val="nil"/>
              <w:bottom w:val="single" w:sz="6" w:space="0" w:color="auto"/>
              <w:right w:val="single" w:sz="6" w:space="0" w:color="auto"/>
            </w:tcBorders>
            <w:shd w:val="clear" w:color="auto" w:fill="auto"/>
            <w:hideMark/>
          </w:tcPr>
          <w:p w14:paraId="2E57F494"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Fully translated document </w:t>
            </w:r>
          </w:p>
        </w:tc>
      </w:tr>
      <w:tr w:rsidR="003D4334" w:rsidRPr="003D4334" w14:paraId="62446FF9" w14:textId="77777777" w:rsidTr="003D4334">
        <w:trPr>
          <w:trHeight w:val="300"/>
        </w:trPr>
        <w:tc>
          <w:tcPr>
            <w:tcW w:w="1948" w:type="dxa"/>
            <w:tcBorders>
              <w:top w:val="nil"/>
              <w:left w:val="single" w:sz="6" w:space="0" w:color="auto"/>
              <w:bottom w:val="single" w:sz="6" w:space="0" w:color="auto"/>
              <w:right w:val="single" w:sz="6" w:space="0" w:color="auto"/>
            </w:tcBorders>
            <w:shd w:val="clear" w:color="auto" w:fill="auto"/>
            <w:hideMark/>
          </w:tcPr>
          <w:p w14:paraId="03DE7BBE"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1000 </w:t>
            </w:r>
          </w:p>
        </w:tc>
        <w:tc>
          <w:tcPr>
            <w:tcW w:w="2319" w:type="dxa"/>
            <w:tcBorders>
              <w:top w:val="nil"/>
              <w:left w:val="nil"/>
              <w:bottom w:val="single" w:sz="6" w:space="0" w:color="auto"/>
              <w:right w:val="single" w:sz="6" w:space="0" w:color="auto"/>
            </w:tcBorders>
            <w:shd w:val="clear" w:color="auto" w:fill="auto"/>
            <w:hideMark/>
          </w:tcPr>
          <w:p w14:paraId="093DC7DF"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0% - 9.99% </w:t>
            </w:r>
          </w:p>
        </w:tc>
        <w:tc>
          <w:tcPr>
            <w:tcW w:w="2648" w:type="dxa"/>
            <w:tcBorders>
              <w:top w:val="nil"/>
              <w:left w:val="nil"/>
              <w:bottom w:val="single" w:sz="6" w:space="0" w:color="auto"/>
              <w:right w:val="single" w:sz="6" w:space="0" w:color="auto"/>
            </w:tcBorders>
            <w:shd w:val="clear" w:color="auto" w:fill="auto"/>
            <w:hideMark/>
          </w:tcPr>
          <w:p w14:paraId="2229710F"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Summary and reference to availability of full translation </w:t>
            </w:r>
          </w:p>
        </w:tc>
        <w:tc>
          <w:tcPr>
            <w:tcW w:w="3005" w:type="dxa"/>
            <w:tcBorders>
              <w:top w:val="nil"/>
              <w:left w:val="nil"/>
              <w:bottom w:val="single" w:sz="6" w:space="0" w:color="auto"/>
              <w:right w:val="single" w:sz="6" w:space="0" w:color="auto"/>
            </w:tcBorders>
            <w:shd w:val="clear" w:color="auto" w:fill="auto"/>
            <w:hideMark/>
          </w:tcPr>
          <w:p w14:paraId="2AE30506"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Fully translated document </w:t>
            </w:r>
          </w:p>
        </w:tc>
      </w:tr>
      <w:tr w:rsidR="003D4334" w:rsidRPr="003D4334" w14:paraId="4F9580C3" w14:textId="77777777" w:rsidTr="003D4334">
        <w:trPr>
          <w:trHeight w:val="300"/>
        </w:trPr>
        <w:tc>
          <w:tcPr>
            <w:tcW w:w="1948" w:type="dxa"/>
            <w:tcBorders>
              <w:top w:val="nil"/>
              <w:left w:val="single" w:sz="6" w:space="0" w:color="auto"/>
              <w:bottom w:val="single" w:sz="6" w:space="0" w:color="auto"/>
              <w:right w:val="single" w:sz="6" w:space="0" w:color="auto"/>
            </w:tcBorders>
            <w:shd w:val="clear" w:color="auto" w:fill="auto"/>
            <w:hideMark/>
          </w:tcPr>
          <w:p w14:paraId="76889785"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51-999 </w:t>
            </w:r>
          </w:p>
        </w:tc>
        <w:tc>
          <w:tcPr>
            <w:tcW w:w="2319" w:type="dxa"/>
            <w:tcBorders>
              <w:top w:val="nil"/>
              <w:left w:val="nil"/>
              <w:bottom w:val="single" w:sz="6" w:space="0" w:color="auto"/>
              <w:right w:val="single" w:sz="6" w:space="0" w:color="auto"/>
            </w:tcBorders>
            <w:shd w:val="clear" w:color="auto" w:fill="auto"/>
            <w:hideMark/>
          </w:tcPr>
          <w:p w14:paraId="7129B104"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10% or more  </w:t>
            </w:r>
          </w:p>
        </w:tc>
        <w:tc>
          <w:tcPr>
            <w:tcW w:w="2648" w:type="dxa"/>
            <w:tcBorders>
              <w:top w:val="nil"/>
              <w:left w:val="nil"/>
              <w:bottom w:val="single" w:sz="6" w:space="0" w:color="auto"/>
              <w:right w:val="single" w:sz="6" w:space="0" w:color="auto"/>
            </w:tcBorders>
            <w:shd w:val="clear" w:color="auto" w:fill="auto"/>
            <w:hideMark/>
          </w:tcPr>
          <w:p w14:paraId="6778CF47"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Fully translated notice </w:t>
            </w:r>
          </w:p>
        </w:tc>
        <w:tc>
          <w:tcPr>
            <w:tcW w:w="3005" w:type="dxa"/>
            <w:tcBorders>
              <w:top w:val="nil"/>
              <w:left w:val="nil"/>
              <w:bottom w:val="single" w:sz="6" w:space="0" w:color="auto"/>
              <w:right w:val="single" w:sz="6" w:space="0" w:color="auto"/>
            </w:tcBorders>
            <w:shd w:val="clear" w:color="auto" w:fill="auto"/>
            <w:hideMark/>
          </w:tcPr>
          <w:p w14:paraId="20B4B521"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Fully translated document </w:t>
            </w:r>
          </w:p>
        </w:tc>
      </w:tr>
      <w:tr w:rsidR="003D4334" w:rsidRPr="003D4334" w14:paraId="6202F155" w14:textId="77777777" w:rsidTr="003D4334">
        <w:trPr>
          <w:trHeight w:val="300"/>
        </w:trPr>
        <w:tc>
          <w:tcPr>
            <w:tcW w:w="1948" w:type="dxa"/>
            <w:tcBorders>
              <w:top w:val="nil"/>
              <w:left w:val="single" w:sz="6" w:space="0" w:color="auto"/>
              <w:bottom w:val="single" w:sz="6" w:space="0" w:color="auto"/>
              <w:right w:val="single" w:sz="6" w:space="0" w:color="auto"/>
            </w:tcBorders>
            <w:shd w:val="clear" w:color="auto" w:fill="auto"/>
            <w:hideMark/>
          </w:tcPr>
          <w:p w14:paraId="3579A783"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51-999 </w:t>
            </w:r>
          </w:p>
        </w:tc>
        <w:tc>
          <w:tcPr>
            <w:tcW w:w="2319" w:type="dxa"/>
            <w:tcBorders>
              <w:top w:val="nil"/>
              <w:left w:val="nil"/>
              <w:bottom w:val="single" w:sz="6" w:space="0" w:color="auto"/>
              <w:right w:val="single" w:sz="6" w:space="0" w:color="auto"/>
            </w:tcBorders>
            <w:shd w:val="clear" w:color="auto" w:fill="auto"/>
            <w:hideMark/>
          </w:tcPr>
          <w:p w14:paraId="171C0AEF"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5.01% - 9.99%  </w:t>
            </w:r>
          </w:p>
        </w:tc>
        <w:tc>
          <w:tcPr>
            <w:tcW w:w="2648" w:type="dxa"/>
            <w:tcBorders>
              <w:top w:val="nil"/>
              <w:left w:val="nil"/>
              <w:bottom w:val="single" w:sz="6" w:space="0" w:color="auto"/>
              <w:right w:val="single" w:sz="6" w:space="0" w:color="auto"/>
            </w:tcBorders>
            <w:shd w:val="clear" w:color="auto" w:fill="auto"/>
            <w:hideMark/>
          </w:tcPr>
          <w:p w14:paraId="29DC2B19"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Summary and reference to availability of full translation </w:t>
            </w:r>
          </w:p>
        </w:tc>
        <w:tc>
          <w:tcPr>
            <w:tcW w:w="3005" w:type="dxa"/>
            <w:tcBorders>
              <w:top w:val="nil"/>
              <w:left w:val="nil"/>
              <w:bottom w:val="single" w:sz="6" w:space="0" w:color="auto"/>
              <w:right w:val="single" w:sz="6" w:space="0" w:color="auto"/>
            </w:tcBorders>
            <w:shd w:val="clear" w:color="auto" w:fill="auto"/>
            <w:hideMark/>
          </w:tcPr>
          <w:p w14:paraId="7E6E215D"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Fully translated document </w:t>
            </w:r>
          </w:p>
        </w:tc>
      </w:tr>
      <w:tr w:rsidR="003D4334" w:rsidRPr="003D4334" w14:paraId="7EDD272B" w14:textId="77777777" w:rsidTr="003D4334">
        <w:trPr>
          <w:trHeight w:val="300"/>
        </w:trPr>
        <w:tc>
          <w:tcPr>
            <w:tcW w:w="1948" w:type="dxa"/>
            <w:tcBorders>
              <w:top w:val="nil"/>
              <w:left w:val="single" w:sz="6" w:space="0" w:color="auto"/>
              <w:bottom w:val="single" w:sz="6" w:space="0" w:color="auto"/>
              <w:right w:val="single" w:sz="6" w:space="0" w:color="auto"/>
            </w:tcBorders>
            <w:shd w:val="clear" w:color="auto" w:fill="auto"/>
            <w:hideMark/>
          </w:tcPr>
          <w:p w14:paraId="25F13028"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51-999 </w:t>
            </w:r>
          </w:p>
        </w:tc>
        <w:tc>
          <w:tcPr>
            <w:tcW w:w="2319" w:type="dxa"/>
            <w:tcBorders>
              <w:top w:val="nil"/>
              <w:left w:val="nil"/>
              <w:bottom w:val="single" w:sz="6" w:space="0" w:color="auto"/>
              <w:right w:val="single" w:sz="6" w:space="0" w:color="auto"/>
            </w:tcBorders>
            <w:shd w:val="clear" w:color="auto" w:fill="auto"/>
            <w:hideMark/>
          </w:tcPr>
          <w:p w14:paraId="30D1460C"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0% - 5% </w:t>
            </w:r>
          </w:p>
        </w:tc>
        <w:tc>
          <w:tcPr>
            <w:tcW w:w="2648" w:type="dxa"/>
            <w:tcBorders>
              <w:top w:val="nil"/>
              <w:left w:val="nil"/>
              <w:bottom w:val="single" w:sz="6" w:space="0" w:color="auto"/>
              <w:right w:val="single" w:sz="6" w:space="0" w:color="auto"/>
            </w:tcBorders>
            <w:shd w:val="clear" w:color="auto" w:fill="auto"/>
            <w:hideMark/>
          </w:tcPr>
          <w:p w14:paraId="67791A31"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xml:space="preserve">Safe harbor - Evaluate LEP need using HUD’s four factor </w:t>
            </w:r>
            <w:proofErr w:type="gramStart"/>
            <w:r w:rsidRPr="00056AA6">
              <w:rPr>
                <w:rFonts w:ascii="Calibri" w:hAnsi="Calibri" w:cs="Calibri"/>
                <w:szCs w:val="22"/>
              </w:rPr>
              <w:t>analysis.*</w:t>
            </w:r>
            <w:proofErr w:type="gramEnd"/>
            <w:r w:rsidRPr="00056AA6">
              <w:rPr>
                <w:rFonts w:ascii="Calibri" w:hAnsi="Calibri" w:cs="Calibri"/>
                <w:szCs w:val="22"/>
              </w:rPr>
              <w:t> </w:t>
            </w:r>
          </w:p>
        </w:tc>
        <w:tc>
          <w:tcPr>
            <w:tcW w:w="3005" w:type="dxa"/>
            <w:tcBorders>
              <w:top w:val="nil"/>
              <w:left w:val="nil"/>
              <w:bottom w:val="single" w:sz="6" w:space="0" w:color="auto"/>
              <w:right w:val="single" w:sz="6" w:space="0" w:color="auto"/>
            </w:tcBorders>
            <w:shd w:val="clear" w:color="auto" w:fill="auto"/>
            <w:hideMark/>
          </w:tcPr>
          <w:p w14:paraId="2BEEAFDB"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xml:space="preserve">Safe harbor - Evaluate LEP need using HUD’s four factor </w:t>
            </w:r>
            <w:proofErr w:type="gramStart"/>
            <w:r w:rsidRPr="00056AA6">
              <w:rPr>
                <w:rFonts w:ascii="Calibri" w:hAnsi="Calibri" w:cs="Calibri"/>
                <w:szCs w:val="22"/>
              </w:rPr>
              <w:t>analysis.*</w:t>
            </w:r>
            <w:proofErr w:type="gramEnd"/>
            <w:r w:rsidRPr="00056AA6">
              <w:rPr>
                <w:rFonts w:ascii="Calibri" w:hAnsi="Calibri" w:cs="Calibri"/>
                <w:szCs w:val="22"/>
              </w:rPr>
              <w:t> </w:t>
            </w:r>
          </w:p>
        </w:tc>
      </w:tr>
      <w:tr w:rsidR="003D4334" w:rsidRPr="003D4334" w14:paraId="6D809C6F" w14:textId="77777777" w:rsidTr="003D4334">
        <w:trPr>
          <w:trHeight w:val="300"/>
        </w:trPr>
        <w:tc>
          <w:tcPr>
            <w:tcW w:w="1948" w:type="dxa"/>
            <w:tcBorders>
              <w:top w:val="single" w:sz="6" w:space="0" w:color="auto"/>
              <w:left w:val="single" w:sz="6" w:space="0" w:color="auto"/>
              <w:bottom w:val="single" w:sz="4" w:space="0" w:color="auto"/>
              <w:right w:val="single" w:sz="6" w:space="0" w:color="auto"/>
            </w:tcBorders>
            <w:shd w:val="clear" w:color="auto" w:fill="auto"/>
            <w:hideMark/>
          </w:tcPr>
          <w:p w14:paraId="053488D2"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50 </w:t>
            </w:r>
          </w:p>
        </w:tc>
        <w:tc>
          <w:tcPr>
            <w:tcW w:w="2319" w:type="dxa"/>
            <w:tcBorders>
              <w:top w:val="single" w:sz="6" w:space="0" w:color="auto"/>
              <w:left w:val="nil"/>
              <w:bottom w:val="single" w:sz="4" w:space="0" w:color="auto"/>
              <w:right w:val="single" w:sz="6" w:space="0" w:color="auto"/>
            </w:tcBorders>
            <w:shd w:val="clear" w:color="auto" w:fill="auto"/>
            <w:hideMark/>
          </w:tcPr>
          <w:p w14:paraId="4B719EDB"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Any percentage </w:t>
            </w:r>
          </w:p>
        </w:tc>
        <w:tc>
          <w:tcPr>
            <w:tcW w:w="2648" w:type="dxa"/>
            <w:tcBorders>
              <w:top w:val="single" w:sz="6" w:space="0" w:color="auto"/>
              <w:left w:val="nil"/>
              <w:bottom w:val="single" w:sz="4" w:space="0" w:color="auto"/>
              <w:right w:val="single" w:sz="6" w:space="0" w:color="auto"/>
            </w:tcBorders>
            <w:shd w:val="clear" w:color="auto" w:fill="auto"/>
            <w:hideMark/>
          </w:tcPr>
          <w:p w14:paraId="60E804BC"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xml:space="preserve">Safe harbor - Evaluate LEP need using HUD’s four factor </w:t>
            </w:r>
            <w:proofErr w:type="gramStart"/>
            <w:r w:rsidRPr="00056AA6">
              <w:rPr>
                <w:rFonts w:ascii="Calibri" w:hAnsi="Calibri" w:cs="Calibri"/>
                <w:szCs w:val="22"/>
              </w:rPr>
              <w:t>analysis.*</w:t>
            </w:r>
            <w:proofErr w:type="gramEnd"/>
            <w:r w:rsidRPr="00056AA6">
              <w:rPr>
                <w:rFonts w:ascii="Calibri" w:hAnsi="Calibri" w:cs="Calibri"/>
                <w:szCs w:val="22"/>
              </w:rPr>
              <w:t> </w:t>
            </w:r>
          </w:p>
        </w:tc>
        <w:tc>
          <w:tcPr>
            <w:tcW w:w="3005" w:type="dxa"/>
            <w:tcBorders>
              <w:top w:val="single" w:sz="6" w:space="0" w:color="auto"/>
              <w:left w:val="nil"/>
              <w:bottom w:val="single" w:sz="4" w:space="0" w:color="auto"/>
              <w:right w:val="single" w:sz="6" w:space="0" w:color="auto"/>
            </w:tcBorders>
            <w:shd w:val="clear" w:color="auto" w:fill="auto"/>
            <w:hideMark/>
          </w:tcPr>
          <w:p w14:paraId="400A7D95" w14:textId="77777777" w:rsidR="003D4334" w:rsidRPr="00056AA6" w:rsidRDefault="003D4334" w:rsidP="003D4334">
            <w:pPr>
              <w:textAlignment w:val="baseline"/>
              <w:rPr>
                <w:rFonts w:ascii="Times New Roman" w:hAnsi="Times New Roman"/>
                <w:sz w:val="24"/>
              </w:rPr>
            </w:pPr>
            <w:r w:rsidRPr="00056AA6">
              <w:rPr>
                <w:rFonts w:ascii="Calibri" w:hAnsi="Calibri" w:cs="Calibri"/>
                <w:szCs w:val="22"/>
              </w:rPr>
              <w:t xml:space="preserve">Safe harbor - Evaluate LEP need using HUD’s four factor </w:t>
            </w:r>
            <w:proofErr w:type="gramStart"/>
            <w:r w:rsidRPr="00056AA6">
              <w:rPr>
                <w:rFonts w:ascii="Calibri" w:hAnsi="Calibri" w:cs="Calibri"/>
                <w:szCs w:val="22"/>
              </w:rPr>
              <w:t>analysis.*</w:t>
            </w:r>
            <w:proofErr w:type="gramEnd"/>
            <w:r w:rsidRPr="00056AA6">
              <w:rPr>
                <w:rFonts w:ascii="Calibri" w:hAnsi="Calibri" w:cs="Calibri"/>
                <w:szCs w:val="22"/>
              </w:rPr>
              <w:t> </w:t>
            </w:r>
          </w:p>
        </w:tc>
      </w:tr>
    </w:tbl>
    <w:p w14:paraId="6142822A" w14:textId="77777777" w:rsidR="003D4334" w:rsidRPr="00F36FEB" w:rsidRDefault="003D4334" w:rsidP="00FD015E">
      <w:pPr>
        <w:pStyle w:val="CDGBBODYSTYLE"/>
        <w:spacing w:line="240" w:lineRule="auto"/>
        <w:jc w:val="left"/>
      </w:pPr>
    </w:p>
    <w:p w14:paraId="7DEA3C8F" w14:textId="61CDFF5D" w:rsidR="000172B4" w:rsidRDefault="00E65EC7" w:rsidP="00FD015E">
      <w:pPr>
        <w:pStyle w:val="CDGBBODYSTYLE"/>
        <w:spacing w:line="240" w:lineRule="auto"/>
        <w:jc w:val="left"/>
      </w:pPr>
      <w:r w:rsidRPr="00F36FEB">
        <w:t xml:space="preserve">Once the required services are identified, the Grant Recipient must identify the vital documents covered by the LEP plan. Vital documents are those documents that ensure that an eligible LEP person can meaningfully have access to the CDBG project. Thus, vital documents include Citizen Participation notices (complaint procedures, hearings notices, civil rights notices), environmental </w:t>
      </w:r>
      <w:r w:rsidRPr="00E06233">
        <w:t>notices</w:t>
      </w:r>
      <w:r>
        <w:t>,</w:t>
      </w:r>
      <w:r w:rsidRPr="00E06233">
        <w:t xml:space="preserve"> </w:t>
      </w:r>
      <w:r w:rsidR="002D5535">
        <w:t xml:space="preserve">outreach notices and application materials for housing rehabilitation or </w:t>
      </w:r>
      <w:r w:rsidR="0066396E">
        <w:t>o</w:t>
      </w:r>
      <w:r w:rsidR="002D5535">
        <w:t xml:space="preserve">n-site </w:t>
      </w:r>
      <w:r w:rsidR="0066396E">
        <w:t>s</w:t>
      </w:r>
      <w:r w:rsidR="002D5535">
        <w:t xml:space="preserve">ewer </w:t>
      </w:r>
      <w:r w:rsidR="0066396E">
        <w:t>f</w:t>
      </w:r>
      <w:r w:rsidR="002D5535">
        <w:t xml:space="preserve">acility assistance, </w:t>
      </w:r>
      <w:r w:rsidRPr="00E06233">
        <w:t xml:space="preserve">and any other published notice that may allow an eligible person with limited English proficiency to participate in discussing proposed CDBG activities. </w:t>
      </w:r>
    </w:p>
    <w:p w14:paraId="7F1970AC" w14:textId="77777777" w:rsidR="0044419E" w:rsidRDefault="00E65EC7" w:rsidP="0028218E">
      <w:pPr>
        <w:pStyle w:val="CDGBBullets-1stindent"/>
        <w:numPr>
          <w:ilvl w:val="0"/>
          <w:numId w:val="25"/>
        </w:numPr>
        <w:spacing w:line="240" w:lineRule="auto"/>
      </w:pPr>
      <w:r>
        <w:t xml:space="preserve">If a document is required by the LEP policy to be translated, the full text translation must be made available.  </w:t>
      </w:r>
    </w:p>
    <w:p w14:paraId="102D1B3C" w14:textId="77777777" w:rsidR="0044419E" w:rsidRDefault="00E65EC7" w:rsidP="0028218E">
      <w:pPr>
        <w:pStyle w:val="CDGBBullets-1stindent"/>
        <w:numPr>
          <w:ilvl w:val="1"/>
          <w:numId w:val="25"/>
        </w:numPr>
        <w:spacing w:line="240" w:lineRule="auto"/>
        <w:ind w:left="1080"/>
      </w:pPr>
      <w:r w:rsidRPr="002865FD">
        <w:rPr>
          <w:b/>
          <w:bCs w:val="0"/>
        </w:rPr>
        <w:t>BEST PRACTICE</w:t>
      </w:r>
      <w:r>
        <w:t>: Publish or post the full text of the translated document alongside the English language version.</w:t>
      </w:r>
    </w:p>
    <w:p w14:paraId="0D7AD725" w14:textId="7878B886" w:rsidR="00651C3E" w:rsidRDefault="00E65EC7" w:rsidP="0028218E">
      <w:pPr>
        <w:pStyle w:val="CDGBBullets-1stindent"/>
        <w:numPr>
          <w:ilvl w:val="0"/>
          <w:numId w:val="25"/>
        </w:numPr>
        <w:spacing w:line="240" w:lineRule="auto"/>
      </w:pPr>
      <w:r>
        <w:t>In certain case</w:t>
      </w:r>
      <w:r w:rsidR="008B24B2">
        <w:t>s</w:t>
      </w:r>
      <w:r>
        <w:t xml:space="preserve">, the Grant Recipient may publish the full text of the English language document along with a translated summary </w:t>
      </w:r>
      <w:r w:rsidRPr="002E14AC">
        <w:t xml:space="preserve">of the document’s contents and contact information for obtaining the full text.  This option is available ONLY if Table </w:t>
      </w:r>
      <w:r w:rsidR="00CB4921" w:rsidRPr="002E14AC">
        <w:t xml:space="preserve">DP02 (or alternate table noted above) </w:t>
      </w:r>
      <w:r w:rsidRPr="002E14AC">
        <w:t xml:space="preserve">identifies less than 10% of residents as “speaks English less than very well” AND </w:t>
      </w:r>
      <w:r w:rsidR="0044419E" w:rsidRPr="002E14AC">
        <w:t xml:space="preserve">the </w:t>
      </w:r>
      <w:r w:rsidR="003A2F72" w:rsidRPr="002E14AC">
        <w:t xml:space="preserve">LEP plan does not identify additional </w:t>
      </w:r>
      <w:r w:rsidR="003A2F72">
        <w:t>LEP needs based on the project’s location.</w:t>
      </w:r>
      <w:r w:rsidR="008B24B2">
        <w:t xml:space="preserve">  </w:t>
      </w:r>
    </w:p>
    <w:p w14:paraId="0C38EF4B" w14:textId="5B89A5EB" w:rsidR="0044419E" w:rsidRPr="0044419E" w:rsidRDefault="00651C3E" w:rsidP="0028218E">
      <w:pPr>
        <w:pStyle w:val="CDGBBullets-1stindent"/>
        <w:numPr>
          <w:ilvl w:val="1"/>
          <w:numId w:val="25"/>
        </w:numPr>
        <w:spacing w:line="240" w:lineRule="auto"/>
        <w:ind w:left="1080"/>
      </w:pPr>
      <w:r w:rsidRPr="002865FD">
        <w:rPr>
          <w:b/>
          <w:bCs w:val="0"/>
        </w:rPr>
        <w:t>EXAMPLE</w:t>
      </w:r>
      <w:r>
        <w:t>:</w:t>
      </w:r>
      <w:r w:rsidRPr="0044419E">
        <w:t xml:space="preserve"> </w:t>
      </w:r>
      <w:r w:rsidR="0044419E" w:rsidRPr="0044419E">
        <w:t xml:space="preserve">La ciudad de [Sample] ha </w:t>
      </w:r>
      <w:proofErr w:type="spellStart"/>
      <w:r w:rsidR="0044419E" w:rsidRPr="0044419E">
        <w:t>realizado</w:t>
      </w:r>
      <w:proofErr w:type="spellEnd"/>
      <w:r w:rsidR="0044419E" w:rsidRPr="0044419E">
        <w:t xml:space="preserve"> </w:t>
      </w:r>
      <w:proofErr w:type="spellStart"/>
      <w:r w:rsidR="0044419E" w:rsidRPr="0044419E">
        <w:t>una</w:t>
      </w:r>
      <w:proofErr w:type="spellEnd"/>
      <w:r w:rsidR="0044419E" w:rsidRPr="0044419E">
        <w:t xml:space="preserve"> </w:t>
      </w:r>
      <w:proofErr w:type="spellStart"/>
      <w:r w:rsidR="0044419E" w:rsidRPr="0044419E">
        <w:t>revisión</w:t>
      </w:r>
      <w:proofErr w:type="spellEnd"/>
      <w:r w:rsidR="0044419E" w:rsidRPr="0044419E">
        <w:t xml:space="preserve"> </w:t>
      </w:r>
      <w:proofErr w:type="spellStart"/>
      <w:r w:rsidR="0044419E" w:rsidRPr="0044419E">
        <w:t>ambiental</w:t>
      </w:r>
      <w:proofErr w:type="spellEnd"/>
      <w:r w:rsidR="0044419E" w:rsidRPr="0044419E">
        <w:t xml:space="preserve"> para </w:t>
      </w:r>
      <w:proofErr w:type="spellStart"/>
      <w:r w:rsidR="0044419E" w:rsidRPr="0044419E">
        <w:t>el</w:t>
      </w:r>
      <w:proofErr w:type="spellEnd"/>
      <w:r w:rsidR="0044419E" w:rsidRPr="0044419E">
        <w:t xml:space="preserve"> </w:t>
      </w:r>
      <w:proofErr w:type="spellStart"/>
      <w:r w:rsidR="0044419E" w:rsidRPr="0044419E">
        <w:t>proyecto</w:t>
      </w:r>
      <w:proofErr w:type="spellEnd"/>
      <w:r w:rsidR="0044419E" w:rsidRPr="0044419E">
        <w:t xml:space="preserve"> de </w:t>
      </w:r>
      <w:proofErr w:type="spellStart"/>
      <w:r w:rsidR="0044419E" w:rsidRPr="0044419E">
        <w:t>construcción</w:t>
      </w:r>
      <w:proofErr w:type="spellEnd"/>
      <w:r w:rsidR="0044419E" w:rsidRPr="0044419E">
        <w:t xml:space="preserve"> de la </w:t>
      </w:r>
      <w:proofErr w:type="spellStart"/>
      <w:r w:rsidR="0044419E" w:rsidRPr="0044419E">
        <w:t>línea</w:t>
      </w:r>
      <w:proofErr w:type="spellEnd"/>
      <w:r w:rsidR="0044419E" w:rsidRPr="0044419E">
        <w:t xml:space="preserve"> de </w:t>
      </w:r>
      <w:proofErr w:type="spellStart"/>
      <w:r w:rsidR="0044419E" w:rsidRPr="0044419E">
        <w:t>agua</w:t>
      </w:r>
      <w:proofErr w:type="spellEnd"/>
      <w:r w:rsidR="0044419E" w:rsidRPr="0044419E">
        <w:t xml:space="preserve"> </w:t>
      </w:r>
      <w:proofErr w:type="spellStart"/>
      <w:r w:rsidR="0044419E" w:rsidRPr="0044419E">
        <w:t>en</w:t>
      </w:r>
      <w:proofErr w:type="spellEnd"/>
      <w:r w:rsidR="0044419E" w:rsidRPr="0044419E">
        <w:t xml:space="preserve"> Main Street, </w:t>
      </w:r>
      <w:proofErr w:type="spellStart"/>
      <w:r w:rsidR="0044419E" w:rsidRPr="0044419E">
        <w:t>financiado</w:t>
      </w:r>
      <w:proofErr w:type="spellEnd"/>
      <w:r w:rsidR="0044419E" w:rsidRPr="0044419E">
        <w:t xml:space="preserve"> </w:t>
      </w:r>
      <w:proofErr w:type="spellStart"/>
      <w:r w:rsidR="0044419E" w:rsidRPr="0044419E">
        <w:t>por</w:t>
      </w:r>
      <w:proofErr w:type="spellEnd"/>
      <w:r w:rsidR="0044419E" w:rsidRPr="0044419E">
        <w:t xml:space="preserve"> </w:t>
      </w:r>
      <w:proofErr w:type="spellStart"/>
      <w:r w:rsidR="0044419E" w:rsidRPr="0044419E">
        <w:t>el</w:t>
      </w:r>
      <w:proofErr w:type="spellEnd"/>
      <w:r w:rsidR="0044419E" w:rsidRPr="0044419E">
        <w:t xml:space="preserve"> </w:t>
      </w:r>
      <w:proofErr w:type="spellStart"/>
      <w:r w:rsidR="0044419E" w:rsidRPr="0044419E">
        <w:t>Programa</w:t>
      </w:r>
      <w:proofErr w:type="spellEnd"/>
      <w:r w:rsidR="0044419E" w:rsidRPr="0044419E">
        <w:t xml:space="preserve"> de </w:t>
      </w:r>
      <w:proofErr w:type="spellStart"/>
      <w:r w:rsidR="0044419E" w:rsidRPr="0044419E">
        <w:t>Subvenciones</w:t>
      </w:r>
      <w:proofErr w:type="spellEnd"/>
      <w:r w:rsidR="0044419E" w:rsidRPr="0044419E">
        <w:t xml:space="preserve"> </w:t>
      </w:r>
      <w:proofErr w:type="spellStart"/>
      <w:r w:rsidR="0044419E" w:rsidRPr="0044419E">
        <w:t>en</w:t>
      </w:r>
      <w:proofErr w:type="spellEnd"/>
      <w:r w:rsidR="0044419E" w:rsidRPr="0044419E">
        <w:t xml:space="preserve"> </w:t>
      </w:r>
      <w:proofErr w:type="spellStart"/>
      <w:r w:rsidR="0044419E" w:rsidRPr="0044419E">
        <w:t>Bloque</w:t>
      </w:r>
      <w:proofErr w:type="spellEnd"/>
      <w:r w:rsidR="0044419E" w:rsidRPr="0044419E">
        <w:t xml:space="preserve"> para </w:t>
      </w:r>
      <w:proofErr w:type="spellStart"/>
      <w:r w:rsidR="0044419E" w:rsidRPr="0044419E">
        <w:t>el</w:t>
      </w:r>
      <w:proofErr w:type="spellEnd"/>
      <w:r w:rsidR="0044419E" w:rsidRPr="0044419E">
        <w:t xml:space="preserve"> Desarrollo </w:t>
      </w:r>
      <w:proofErr w:type="spellStart"/>
      <w:r w:rsidR="0044419E" w:rsidRPr="0044419E">
        <w:t>Comunitario</w:t>
      </w:r>
      <w:proofErr w:type="spellEnd"/>
      <w:r w:rsidR="0044419E" w:rsidRPr="0044419E">
        <w:t xml:space="preserve"> de Texas. Para </w:t>
      </w:r>
      <w:proofErr w:type="spellStart"/>
      <w:r w:rsidR="0044419E" w:rsidRPr="0044419E">
        <w:t>revisar</w:t>
      </w:r>
      <w:proofErr w:type="spellEnd"/>
      <w:r w:rsidR="0044419E" w:rsidRPr="0044419E">
        <w:t xml:space="preserve"> </w:t>
      </w:r>
      <w:proofErr w:type="spellStart"/>
      <w:r w:rsidR="0044419E" w:rsidRPr="0044419E">
        <w:t>una</w:t>
      </w:r>
      <w:proofErr w:type="spellEnd"/>
      <w:r w:rsidR="0044419E" w:rsidRPr="0044419E">
        <w:t xml:space="preserve"> </w:t>
      </w:r>
      <w:proofErr w:type="spellStart"/>
      <w:r w:rsidR="0044419E" w:rsidRPr="0044419E">
        <w:t>traducción</w:t>
      </w:r>
      <w:proofErr w:type="spellEnd"/>
      <w:r w:rsidR="0044419E" w:rsidRPr="0044419E">
        <w:t xml:space="preserve"> </w:t>
      </w:r>
      <w:proofErr w:type="spellStart"/>
      <w:r w:rsidR="0044419E" w:rsidRPr="0044419E">
        <w:t>completa</w:t>
      </w:r>
      <w:proofErr w:type="spellEnd"/>
      <w:r w:rsidR="0044419E" w:rsidRPr="0044419E">
        <w:t xml:space="preserve"> de </w:t>
      </w:r>
      <w:proofErr w:type="spellStart"/>
      <w:r w:rsidR="0044419E" w:rsidRPr="0044419E">
        <w:t>este</w:t>
      </w:r>
      <w:proofErr w:type="spellEnd"/>
      <w:r w:rsidR="0044419E" w:rsidRPr="0044419E">
        <w:t xml:space="preserve"> aviso </w:t>
      </w:r>
      <w:proofErr w:type="spellStart"/>
      <w:r w:rsidR="0044419E" w:rsidRPr="0044419E">
        <w:t>en</w:t>
      </w:r>
      <w:proofErr w:type="spellEnd"/>
      <w:r w:rsidR="0044419E" w:rsidRPr="0044419E">
        <w:t xml:space="preserve"> </w:t>
      </w:r>
      <w:proofErr w:type="spellStart"/>
      <w:r w:rsidR="0044419E" w:rsidRPr="0044419E">
        <w:t>español</w:t>
      </w:r>
      <w:proofErr w:type="spellEnd"/>
      <w:r w:rsidR="0044419E" w:rsidRPr="0044419E">
        <w:t xml:space="preserve">, </w:t>
      </w:r>
      <w:proofErr w:type="spellStart"/>
      <w:r w:rsidR="0044419E" w:rsidRPr="0044419E">
        <w:t>comuníquese</w:t>
      </w:r>
      <w:proofErr w:type="spellEnd"/>
      <w:r w:rsidR="0044419E" w:rsidRPr="0044419E">
        <w:t xml:space="preserve"> con [Nombre] al [</w:t>
      </w:r>
      <w:proofErr w:type="spellStart"/>
      <w:r w:rsidR="0044419E" w:rsidRPr="0044419E">
        <w:t>teléfono</w:t>
      </w:r>
      <w:proofErr w:type="spellEnd"/>
      <w:r w:rsidR="0044419E" w:rsidRPr="0044419E">
        <w:t>] o [</w:t>
      </w:r>
      <w:proofErr w:type="spellStart"/>
      <w:r w:rsidR="0044419E" w:rsidRPr="0044419E">
        <w:t>correo</w:t>
      </w:r>
      <w:proofErr w:type="spellEnd"/>
      <w:r w:rsidR="0044419E" w:rsidRPr="0044419E">
        <w:t xml:space="preserve"> </w:t>
      </w:r>
      <w:proofErr w:type="spellStart"/>
      <w:r w:rsidR="0044419E" w:rsidRPr="0044419E">
        <w:t>electrónico</w:t>
      </w:r>
      <w:proofErr w:type="spellEnd"/>
      <w:r w:rsidR="0044419E" w:rsidRPr="0044419E">
        <w:t>].</w:t>
      </w:r>
    </w:p>
    <w:p w14:paraId="5B461870" w14:textId="40B4150E" w:rsidR="00412479" w:rsidRDefault="00412479" w:rsidP="0028218E">
      <w:pPr>
        <w:pStyle w:val="CDGBBullets-1stindent"/>
        <w:numPr>
          <w:ilvl w:val="0"/>
          <w:numId w:val="25"/>
        </w:numPr>
        <w:spacing w:line="240" w:lineRule="auto"/>
      </w:pPr>
      <w:r>
        <w:t>A reference to translation availability without also summarizing the content of the document is not sufficient for effective communication with LEP persons.</w:t>
      </w:r>
    </w:p>
    <w:p w14:paraId="26F95925" w14:textId="46DDA30D" w:rsidR="00E65EC7" w:rsidRDefault="00E65EC7" w:rsidP="00FD015E">
      <w:pPr>
        <w:pStyle w:val="CDGBBODYSTYLE"/>
        <w:spacing w:line="240" w:lineRule="auto"/>
        <w:jc w:val="left"/>
      </w:pPr>
    </w:p>
    <w:p w14:paraId="7228EF39" w14:textId="51F42302" w:rsidR="00961A4C" w:rsidRDefault="00961A4C" w:rsidP="00FD015E">
      <w:pPr>
        <w:pStyle w:val="CDGBBODYSTYLE"/>
        <w:spacing w:line="240" w:lineRule="auto"/>
        <w:jc w:val="left"/>
        <w:rPr>
          <w:b/>
          <w:bCs/>
          <w:i/>
          <w:iCs/>
        </w:rPr>
      </w:pPr>
      <w:r w:rsidRPr="00E06233">
        <w:rPr>
          <w:b/>
          <w:bCs/>
        </w:rPr>
        <w:t xml:space="preserve">Limited English Proficiency (LEP) Plans are grant/project specific and therefore apply only to the </w:t>
      </w:r>
      <w:proofErr w:type="gramStart"/>
      <w:r w:rsidRPr="00E06233">
        <w:rPr>
          <w:b/>
          <w:bCs/>
        </w:rPr>
        <w:t>particular grant</w:t>
      </w:r>
      <w:proofErr w:type="gramEnd"/>
      <w:r w:rsidRPr="00E06233">
        <w:rPr>
          <w:b/>
          <w:bCs/>
        </w:rPr>
        <w:t xml:space="preserve"> and period</w:t>
      </w:r>
      <w:r w:rsidRPr="00E06233">
        <w:rPr>
          <w:b/>
          <w:bCs/>
          <w:i/>
          <w:iCs/>
        </w:rPr>
        <w:t>.</w:t>
      </w:r>
    </w:p>
    <w:p w14:paraId="4F71ACD6" w14:textId="6F8D468B" w:rsidR="00961A4C" w:rsidRDefault="00961A4C" w:rsidP="00FD015E">
      <w:pPr>
        <w:pStyle w:val="CDGBBODYSTYLE"/>
        <w:spacing w:line="240" w:lineRule="auto"/>
        <w:jc w:val="left"/>
        <w:rPr>
          <w:b/>
          <w:bCs/>
          <w:i/>
          <w:iCs/>
        </w:rPr>
      </w:pPr>
    </w:p>
    <w:p w14:paraId="452CFD8B" w14:textId="4E7289B2" w:rsidR="004D14D3" w:rsidRDefault="004D14D3" w:rsidP="00FD015E">
      <w:pPr>
        <w:pStyle w:val="CDGBBODYSTYLE"/>
        <w:spacing w:line="240" w:lineRule="auto"/>
        <w:jc w:val="left"/>
      </w:pPr>
      <w:r>
        <w:t xml:space="preserve">The LEP plan is documented as part of the </w:t>
      </w:r>
      <w:r w:rsidRPr="002E14AC">
        <w:rPr>
          <w:i/>
          <w:iCs/>
        </w:rPr>
        <w:t>Group A Performance Report</w:t>
      </w:r>
      <w:r>
        <w:t xml:space="preserve"> in TDA-GO.</w:t>
      </w:r>
    </w:p>
    <w:p w14:paraId="60841CF1" w14:textId="77777777" w:rsidR="000646DE" w:rsidRDefault="000646DE" w:rsidP="00FD015E">
      <w:pPr>
        <w:pStyle w:val="Heading2"/>
      </w:pPr>
      <w:bookmarkStart w:id="30" w:name="_Toc123116594"/>
    </w:p>
    <w:p w14:paraId="3CDD60F4" w14:textId="7562088D" w:rsidR="005C1A73" w:rsidRPr="004C30D1" w:rsidRDefault="005C1A73" w:rsidP="00FD015E">
      <w:pPr>
        <w:pStyle w:val="Heading2"/>
      </w:pPr>
      <w:bookmarkStart w:id="31" w:name="_Toc171791354"/>
      <w:r w:rsidRPr="004C30D1">
        <w:t>10.</w:t>
      </w:r>
      <w:r w:rsidR="00F270EC" w:rsidRPr="004C30D1">
        <w:t>1.6</w:t>
      </w:r>
      <w:r w:rsidRPr="004C30D1">
        <w:t xml:space="preserve"> Excessive Force Policy</w:t>
      </w:r>
      <w:bookmarkEnd w:id="30"/>
      <w:bookmarkEnd w:id="31"/>
    </w:p>
    <w:p w14:paraId="22D0D33A" w14:textId="3285E8A5" w:rsidR="003F55C0" w:rsidRDefault="003F55C0" w:rsidP="00FD015E">
      <w:pPr>
        <w:pStyle w:val="CDGBBullets-1stindent"/>
        <w:numPr>
          <w:ilvl w:val="0"/>
          <w:numId w:val="0"/>
        </w:numPr>
        <w:spacing w:line="240" w:lineRule="auto"/>
      </w:pPr>
    </w:p>
    <w:p w14:paraId="2787C1F0" w14:textId="4D8C4BD4" w:rsidR="00C55EA3" w:rsidRPr="00E06233" w:rsidRDefault="00C55EA3" w:rsidP="00FD015E">
      <w:pPr>
        <w:pStyle w:val="CDGBBODYSTYLE"/>
        <w:spacing w:line="240" w:lineRule="auto"/>
        <w:jc w:val="left"/>
      </w:pPr>
      <w:r w:rsidRPr="00E06233">
        <w:t>In accordance with Section 104(</w:t>
      </w:r>
      <w:r w:rsidR="007B1DC7" w:rsidRPr="00286881">
        <w:rPr>
          <w:rFonts w:ascii="Times" w:hAnsi="Times"/>
        </w:rPr>
        <w:t>l</w:t>
      </w:r>
      <w:r w:rsidRPr="00E06233">
        <w:t>) of the Housing and Community Development Act, as amended, Grant Recipients receiving TxCDBG funding must adopt an Excessive Force Policy that prohibits the use of excessive force against non-violent civil rights demonstrations.</w:t>
      </w:r>
      <w:r w:rsidR="00651C3E">
        <w:rPr>
          <w:rStyle w:val="FootnoteReference"/>
        </w:rPr>
        <w:footnoteReference w:id="13"/>
      </w:r>
      <w:r w:rsidRPr="00E06233">
        <w:t xml:space="preserve"> </w:t>
      </w:r>
    </w:p>
    <w:p w14:paraId="1E27E33D" w14:textId="77777777" w:rsidR="00C55EA3" w:rsidRPr="00E06233" w:rsidRDefault="00C55EA3" w:rsidP="00FD015E"/>
    <w:p w14:paraId="7B4566D6" w14:textId="1A45EBF2" w:rsidR="00C55EA3" w:rsidRPr="00E06233" w:rsidRDefault="00C55EA3" w:rsidP="00FD015E">
      <w:pPr>
        <w:pStyle w:val="CDGBBODYSTYLE"/>
        <w:spacing w:line="240" w:lineRule="auto"/>
        <w:jc w:val="left"/>
      </w:pPr>
      <w:r w:rsidRPr="00E06233">
        <w:t xml:space="preserve">When Grant Recipients </w:t>
      </w:r>
      <w:r w:rsidR="00651C3E">
        <w:t>execute</w:t>
      </w:r>
      <w:r w:rsidR="00651C3E" w:rsidRPr="00E06233">
        <w:t xml:space="preserve"> </w:t>
      </w:r>
      <w:r w:rsidRPr="00E06233">
        <w:t xml:space="preserve">their </w:t>
      </w:r>
      <w:r w:rsidR="003C02EC">
        <w:t>agreement</w:t>
      </w:r>
      <w:r w:rsidRPr="00E06233">
        <w:t>(s) they certify that they will pass and enforce the following policies:</w:t>
      </w:r>
    </w:p>
    <w:p w14:paraId="30870B1E" w14:textId="77777777" w:rsidR="00C55EA3" w:rsidRPr="00E06233" w:rsidRDefault="00C55EA3" w:rsidP="0028218E">
      <w:pPr>
        <w:pStyle w:val="CDGBBullets-1stindent"/>
        <w:numPr>
          <w:ilvl w:val="0"/>
          <w:numId w:val="26"/>
        </w:numPr>
        <w:spacing w:line="240" w:lineRule="auto"/>
        <w:ind w:left="720"/>
      </w:pPr>
      <w:r w:rsidRPr="00E06233">
        <w:t xml:space="preserve">A policy prohibiting the use of excessive force by law enforcement agencies within its jurisdiction against any individuals engaged in non-violent civil rights demonstrations; </w:t>
      </w:r>
      <w:r w:rsidRPr="00E06233">
        <w:rPr>
          <w:b/>
        </w:rPr>
        <w:t>and/or</w:t>
      </w:r>
      <w:r w:rsidRPr="00E06233">
        <w:t xml:space="preserve"> </w:t>
      </w:r>
    </w:p>
    <w:p w14:paraId="30CE4287" w14:textId="77777777" w:rsidR="003C02EC" w:rsidRDefault="00C55EA3" w:rsidP="0028218E">
      <w:pPr>
        <w:pStyle w:val="CDGBBullets-1stindent"/>
        <w:numPr>
          <w:ilvl w:val="0"/>
          <w:numId w:val="26"/>
        </w:numPr>
        <w:spacing w:line="240" w:lineRule="auto"/>
        <w:ind w:left="720"/>
      </w:pPr>
      <w:r w:rsidRPr="00E06233">
        <w:t xml:space="preserve">A policy of enforcing applicable state and local laws against physically barring the entrance to, or exit from, a facility or location that is the subject of such non-violent civil rights demonstrations within its jurisdiction. </w:t>
      </w:r>
    </w:p>
    <w:p w14:paraId="19229DCA" w14:textId="77777777" w:rsidR="009E70DE" w:rsidRDefault="009E70DE" w:rsidP="00FD015E">
      <w:pPr>
        <w:pStyle w:val="CDGBBullets-1stindent"/>
        <w:numPr>
          <w:ilvl w:val="0"/>
          <w:numId w:val="0"/>
        </w:numPr>
        <w:spacing w:line="240" w:lineRule="auto"/>
        <w:ind w:left="360"/>
      </w:pPr>
    </w:p>
    <w:p w14:paraId="47C23C9D" w14:textId="600C09E0" w:rsidR="00C55EA3" w:rsidRDefault="00C55EA3" w:rsidP="00FD015E">
      <w:pPr>
        <w:pStyle w:val="CDGBBullets-1stindent"/>
        <w:numPr>
          <w:ilvl w:val="0"/>
          <w:numId w:val="0"/>
        </w:numPr>
        <w:spacing w:line="240" w:lineRule="auto"/>
      </w:pPr>
      <w:r w:rsidRPr="00E06233">
        <w:t xml:space="preserve">See </w:t>
      </w:r>
      <w:r w:rsidRPr="00E06233">
        <w:rPr>
          <w:i/>
          <w:spacing w:val="-4"/>
        </w:rPr>
        <w:t>Sample Excessive Force Policy</w:t>
      </w:r>
      <w:r w:rsidRPr="00E06233">
        <w:t xml:space="preserve"> (</w:t>
      </w:r>
      <w:r w:rsidRPr="00E06233">
        <w:rPr>
          <w:b/>
        </w:rPr>
        <w:t>Form A1003)</w:t>
      </w:r>
      <w:r w:rsidRPr="00E06233">
        <w:t>.</w:t>
      </w:r>
    </w:p>
    <w:p w14:paraId="48E3B8C1" w14:textId="66D294DD" w:rsidR="009E70DE" w:rsidRDefault="009E70DE" w:rsidP="00FD015E">
      <w:pPr>
        <w:pStyle w:val="CDGBBullets-1stindent"/>
        <w:numPr>
          <w:ilvl w:val="0"/>
          <w:numId w:val="0"/>
        </w:numPr>
        <w:spacing w:line="240" w:lineRule="auto"/>
      </w:pPr>
    </w:p>
    <w:p w14:paraId="113EC036" w14:textId="5515B7BF" w:rsidR="003F55C0" w:rsidRDefault="003F55C0" w:rsidP="00FD015E">
      <w:pPr>
        <w:pStyle w:val="Heading2"/>
      </w:pPr>
      <w:bookmarkStart w:id="32" w:name="_Toc123116595"/>
      <w:bookmarkStart w:id="33" w:name="_Toc171791355"/>
      <w:r w:rsidRPr="00823588">
        <w:t>10.</w:t>
      </w:r>
      <w:r w:rsidR="00F270EC">
        <w:t>1.7</w:t>
      </w:r>
      <w:r w:rsidRPr="00823588">
        <w:t xml:space="preserve"> </w:t>
      </w:r>
      <w:r w:rsidR="00153677" w:rsidRPr="00823588">
        <w:t>Disadvantaged</w:t>
      </w:r>
      <w:r w:rsidRPr="00823588">
        <w:t xml:space="preserve"> </w:t>
      </w:r>
      <w:r w:rsidR="00153677" w:rsidRPr="00823588">
        <w:t>Businesses</w:t>
      </w:r>
      <w:bookmarkEnd w:id="32"/>
      <w:bookmarkEnd w:id="33"/>
    </w:p>
    <w:p w14:paraId="391B87F8" w14:textId="77777777" w:rsidR="003C02EC" w:rsidRDefault="003C02EC" w:rsidP="00FD015E">
      <w:pPr>
        <w:pStyle w:val="CDGBBODYSTYLE"/>
        <w:spacing w:line="240" w:lineRule="auto"/>
        <w:jc w:val="left"/>
        <w:rPr>
          <w:b/>
          <w:bCs/>
        </w:rPr>
      </w:pPr>
    </w:p>
    <w:p w14:paraId="7D5DB072" w14:textId="3E9FB4DD" w:rsidR="00C55EA3" w:rsidRPr="00E06233" w:rsidRDefault="00C55EA3" w:rsidP="00FD015E">
      <w:pPr>
        <w:pStyle w:val="CDGBBODYSTYLE"/>
        <w:spacing w:line="240" w:lineRule="auto"/>
        <w:jc w:val="left"/>
      </w:pPr>
      <w:r w:rsidRPr="00E06233">
        <w:t xml:space="preserve">Grant Recipients </w:t>
      </w:r>
      <w:r w:rsidR="00DD69C0">
        <w:t>must</w:t>
      </w:r>
      <w:r w:rsidRPr="00E06233">
        <w:t xml:space="preserve"> affirmatively take </w:t>
      </w:r>
      <w:r w:rsidR="00DD69C0">
        <w:t>necessary steps</w:t>
      </w:r>
      <w:r w:rsidR="00DD69C0" w:rsidRPr="00E06233">
        <w:t xml:space="preserve"> </w:t>
      </w:r>
      <w:r w:rsidRPr="00E06233">
        <w:t>to utilize small (SBE), minority</w:t>
      </w:r>
      <w:r w:rsidR="008E7058">
        <w:t>-owned</w:t>
      </w:r>
      <w:r w:rsidRPr="00E06233">
        <w:t xml:space="preserve"> (MBE) and women-owned businesses (WBE). Although Grant Recipients are not directly responsible for meeting a specific minority business participation goal, TDA reports to HUD on the levels of MBE and WBE hiring under all TxCDBG contracts.</w:t>
      </w:r>
      <w:r w:rsidR="00651C3E">
        <w:rPr>
          <w:rStyle w:val="FootnoteReference"/>
        </w:rPr>
        <w:footnoteReference w:id="14"/>
      </w:r>
      <w:r w:rsidRPr="00E06233">
        <w:t xml:space="preserve"> </w:t>
      </w:r>
    </w:p>
    <w:p w14:paraId="0E470851" w14:textId="77777777" w:rsidR="00C55EA3" w:rsidRPr="00E06233" w:rsidRDefault="00C55EA3" w:rsidP="00FD015E">
      <w:pPr>
        <w:pStyle w:val="CDGBBODYSTYLE"/>
        <w:spacing w:line="240" w:lineRule="auto"/>
        <w:jc w:val="left"/>
      </w:pPr>
    </w:p>
    <w:p w14:paraId="5616CB7D" w14:textId="54D27609" w:rsidR="00C55EA3" w:rsidRPr="00E06233" w:rsidRDefault="00C55EA3" w:rsidP="00FD015E">
      <w:pPr>
        <w:pStyle w:val="CDGBBODYSTYLE"/>
        <w:spacing w:line="240" w:lineRule="auto"/>
        <w:jc w:val="left"/>
      </w:pPr>
      <w:r w:rsidRPr="00E06233">
        <w:t>The following suggestions can be used to increase participation of small, minority</w:t>
      </w:r>
      <w:r w:rsidR="00801D75">
        <w:t>-</w:t>
      </w:r>
      <w:r w:rsidRPr="00E06233">
        <w:t xml:space="preserve"> and women-owned businesses. </w:t>
      </w:r>
    </w:p>
    <w:p w14:paraId="082F78E1" w14:textId="72573D4C" w:rsidR="00C55EA3" w:rsidRPr="009E70DE" w:rsidRDefault="00C55EA3" w:rsidP="0028218E">
      <w:pPr>
        <w:pStyle w:val="CDGBBullets-1stindent"/>
        <w:numPr>
          <w:ilvl w:val="0"/>
          <w:numId w:val="27"/>
        </w:numPr>
        <w:spacing w:line="240" w:lineRule="auto"/>
      </w:pPr>
      <w:r w:rsidRPr="009E70DE">
        <w:t xml:space="preserve">Place qualified small, minority, and women-owned firms on solicitation lists. The Texas Comptroller of Public Accounts provides the Historically Underutilized Business (HUB) Directory that includes small businesses that are minority and </w:t>
      </w:r>
      <w:proofErr w:type="gramStart"/>
      <w:r w:rsidRPr="009E70DE">
        <w:t>women-owned</w:t>
      </w:r>
      <w:proofErr w:type="gramEnd"/>
      <w:r w:rsidRPr="009E70DE">
        <w:t xml:space="preserve">. The directory and other information on HUB certification </w:t>
      </w:r>
      <w:r w:rsidR="009E70DE" w:rsidRPr="009E70DE">
        <w:t>is</w:t>
      </w:r>
      <w:r w:rsidRPr="009E70DE">
        <w:t xml:space="preserve"> available on the Texas Comptroller’s website. </w:t>
      </w:r>
    </w:p>
    <w:p w14:paraId="203D102E" w14:textId="54C55BBB" w:rsidR="00C55EA3" w:rsidRPr="00F36FEB" w:rsidRDefault="00C55EA3" w:rsidP="0028218E">
      <w:pPr>
        <w:pStyle w:val="CDGBBullets-1stindent"/>
        <w:numPr>
          <w:ilvl w:val="0"/>
          <w:numId w:val="27"/>
        </w:numPr>
        <w:spacing w:line="240" w:lineRule="auto"/>
      </w:pPr>
      <w:r w:rsidRPr="009E70DE">
        <w:t xml:space="preserve">Utilize the Minority Business Development Centers (MBDCs) located throughout Texas. The Minority </w:t>
      </w:r>
      <w:r w:rsidRPr="00F36FEB">
        <w:t xml:space="preserve">Business Development Agency of the U.S. Department of Commerce funds MBDCs. This network can assist in achieving local and state minority business goals by providing relevant information, management assistance, technical assistance, program outreach, and brokerage services to minority firms. A listing of MBDCs can be found on the internet at </w:t>
      </w:r>
      <w:hyperlink r:id="rId19" w:history="1">
        <w:r w:rsidRPr="002865FD">
          <w:rPr>
            <w:rStyle w:val="Hyperlink"/>
            <w:rFonts w:cs="Arial"/>
            <w:color w:val="auto"/>
          </w:rPr>
          <w:t>http://www.mbda.gov</w:t>
        </w:r>
      </w:hyperlink>
      <w:r w:rsidRPr="00F36FEB">
        <w:t xml:space="preserve">. </w:t>
      </w:r>
    </w:p>
    <w:p w14:paraId="61A27047" w14:textId="197E6830" w:rsidR="00C55EA3" w:rsidRPr="00F36FEB" w:rsidRDefault="00C55EA3" w:rsidP="0028218E">
      <w:pPr>
        <w:pStyle w:val="CDGBBullets-1stindent"/>
        <w:numPr>
          <w:ilvl w:val="0"/>
          <w:numId w:val="27"/>
        </w:numPr>
        <w:spacing w:line="240" w:lineRule="auto"/>
      </w:pPr>
      <w:r w:rsidRPr="00F36FEB">
        <w:t>Solicit bids/services from small, minority, and women-owned businesses</w:t>
      </w:r>
      <w:r w:rsidR="00154F7C" w:rsidRPr="00F36FEB">
        <w:t xml:space="preserve"> when issuing requests for proposals (RFPs), requests for </w:t>
      </w:r>
      <w:r w:rsidR="00F12E37" w:rsidRPr="00F36FEB">
        <w:t xml:space="preserve">qualifications </w:t>
      </w:r>
      <w:r w:rsidR="00154F7C" w:rsidRPr="00F36FEB">
        <w:t>(RFQs), and soliciting construction bids</w:t>
      </w:r>
      <w:r w:rsidR="00823588" w:rsidRPr="00F36FEB">
        <w:t>.</w:t>
      </w:r>
    </w:p>
    <w:p w14:paraId="2FBA3D25" w14:textId="77777777" w:rsidR="00C55EA3" w:rsidRPr="009E70DE" w:rsidRDefault="00C55EA3" w:rsidP="0028218E">
      <w:pPr>
        <w:pStyle w:val="CDGBBullets-1stindent"/>
        <w:numPr>
          <w:ilvl w:val="0"/>
          <w:numId w:val="27"/>
        </w:numPr>
        <w:spacing w:line="240" w:lineRule="auto"/>
      </w:pPr>
      <w:r w:rsidRPr="009E70DE">
        <w:t>Divide project activities into smaller tasks or services to allow participation by these types of businesses, if economically feasible. Discuss with TxCDBG staff to avoid violation of program rules with respect to small purchase procurement and awards to best, most responsible bid.</w:t>
      </w:r>
    </w:p>
    <w:p w14:paraId="3BCD2147" w14:textId="77777777" w:rsidR="00651C3E" w:rsidRDefault="00C55EA3" w:rsidP="0028218E">
      <w:pPr>
        <w:pStyle w:val="CDGBBullets-1stindent"/>
        <w:numPr>
          <w:ilvl w:val="0"/>
          <w:numId w:val="27"/>
        </w:numPr>
        <w:spacing w:line="240" w:lineRule="auto"/>
      </w:pPr>
      <w:r w:rsidRPr="009E70DE">
        <w:t xml:space="preserve">Provide direct bonding assistance to minority business enterprises </w:t>
      </w:r>
      <w:proofErr w:type="gramStart"/>
      <w:r w:rsidRPr="009E70DE">
        <w:t>in order to</w:t>
      </w:r>
      <w:proofErr w:type="gramEnd"/>
      <w:r w:rsidRPr="009E70DE">
        <w:t xml:space="preserve"> promote their participation in the CDBG funded projects. </w:t>
      </w:r>
    </w:p>
    <w:p w14:paraId="16C876C1" w14:textId="1BF5B27D" w:rsidR="00C55EA3" w:rsidRPr="009E70DE" w:rsidRDefault="00C55EA3" w:rsidP="00BA651B">
      <w:pPr>
        <w:pStyle w:val="CDGBBullets-1stindent"/>
        <w:numPr>
          <w:ilvl w:val="0"/>
          <w:numId w:val="0"/>
        </w:numPr>
        <w:spacing w:line="240" w:lineRule="auto"/>
        <w:ind w:left="720"/>
      </w:pPr>
      <w:r w:rsidRPr="009E70DE">
        <w:rPr>
          <w:b/>
          <w:bCs w:val="0"/>
        </w:rPr>
        <w:t>NOTE</w:t>
      </w:r>
      <w:r w:rsidRPr="009E70DE">
        <w:t>: Payment of bond premiums on behalf of such firms is an allowable expenditure that can be paid for with CDBG funds only out of the general administration budget category.</w:t>
      </w:r>
    </w:p>
    <w:p w14:paraId="23809A70" w14:textId="77777777" w:rsidR="00C55EA3" w:rsidRPr="009E70DE" w:rsidRDefault="00C55EA3" w:rsidP="0028218E">
      <w:pPr>
        <w:pStyle w:val="CDGBBullets-1stindent"/>
        <w:numPr>
          <w:ilvl w:val="0"/>
          <w:numId w:val="27"/>
        </w:numPr>
        <w:spacing w:line="240" w:lineRule="auto"/>
      </w:pPr>
      <w:r w:rsidRPr="009E70DE">
        <w:t xml:space="preserve">Provide small, minority and women-owned businesses with information regarding the Small Business Administration (SBA) Surety Bond Guarantee Program. This program opens the bonding system to new, small, or financially marginal disadvantaged construction contractors who are not able to obtain bonding through their own efforts or find it too costly in the standard market. Information on the program and local contact information can be found on the SBA website. </w:t>
      </w:r>
    </w:p>
    <w:p w14:paraId="17B189BD" w14:textId="7C49E5F6" w:rsidR="00C55EA3" w:rsidRDefault="00C55EA3" w:rsidP="00FD015E">
      <w:pPr>
        <w:pStyle w:val="Default"/>
        <w:rPr>
          <w:rFonts w:ascii="Arial" w:hAnsi="Arial" w:cs="Arial"/>
          <w:sz w:val="22"/>
          <w:szCs w:val="22"/>
        </w:rPr>
      </w:pPr>
    </w:p>
    <w:p w14:paraId="3A081936" w14:textId="09A9B15C" w:rsidR="00801D75" w:rsidRPr="00651C3E" w:rsidRDefault="00801D75" w:rsidP="00FD015E">
      <w:pPr>
        <w:pStyle w:val="Default"/>
        <w:rPr>
          <w:rFonts w:ascii="Arial" w:hAnsi="Arial" w:cs="Arial"/>
          <w:sz w:val="22"/>
          <w:szCs w:val="22"/>
        </w:rPr>
      </w:pPr>
      <w:proofErr w:type="gramStart"/>
      <w:r w:rsidRPr="00651C3E">
        <w:rPr>
          <w:rFonts w:ascii="Arial" w:hAnsi="Arial" w:cs="Arial"/>
          <w:sz w:val="22"/>
          <w:szCs w:val="22"/>
        </w:rPr>
        <w:t>In order to</w:t>
      </w:r>
      <w:proofErr w:type="gramEnd"/>
      <w:r w:rsidRPr="00651C3E">
        <w:rPr>
          <w:rFonts w:ascii="Arial" w:hAnsi="Arial" w:cs="Arial"/>
          <w:sz w:val="22"/>
          <w:szCs w:val="22"/>
        </w:rPr>
        <w:t xml:space="preserve"> meet federal reporting requirement</w:t>
      </w:r>
      <w:r w:rsidR="007F0488">
        <w:rPr>
          <w:rFonts w:ascii="Arial" w:hAnsi="Arial" w:cs="Arial"/>
          <w:sz w:val="22"/>
          <w:szCs w:val="22"/>
        </w:rPr>
        <w:t>s</w:t>
      </w:r>
      <w:r w:rsidRPr="00651C3E">
        <w:rPr>
          <w:rFonts w:ascii="Arial" w:hAnsi="Arial" w:cs="Arial"/>
          <w:sz w:val="22"/>
          <w:szCs w:val="22"/>
        </w:rPr>
        <w:t xml:space="preserve">, the Grant Recipient must provide </w:t>
      </w:r>
      <w:r w:rsidR="00154F7C" w:rsidRPr="00651C3E">
        <w:rPr>
          <w:rFonts w:ascii="Arial" w:hAnsi="Arial" w:cs="Arial"/>
          <w:sz w:val="22"/>
          <w:szCs w:val="22"/>
        </w:rPr>
        <w:t xml:space="preserve">data regarding the ownership of each vendor/service provider on the TDA-GO Materials </w:t>
      </w:r>
      <w:r w:rsidR="009E70DE" w:rsidRPr="00651C3E">
        <w:rPr>
          <w:rFonts w:ascii="Arial" w:hAnsi="Arial" w:cs="Arial"/>
          <w:sz w:val="22"/>
          <w:szCs w:val="22"/>
        </w:rPr>
        <w:t>and</w:t>
      </w:r>
      <w:r w:rsidR="00154F7C" w:rsidRPr="00651C3E">
        <w:rPr>
          <w:rFonts w:ascii="Arial" w:hAnsi="Arial" w:cs="Arial"/>
          <w:sz w:val="22"/>
          <w:szCs w:val="22"/>
        </w:rPr>
        <w:t xml:space="preserve"> Services Repor</w:t>
      </w:r>
      <w:r w:rsidR="00651C3E">
        <w:rPr>
          <w:rFonts w:ascii="Arial" w:hAnsi="Arial" w:cs="Arial"/>
          <w:sz w:val="22"/>
          <w:szCs w:val="22"/>
        </w:rPr>
        <w:t>t, s</w:t>
      </w:r>
      <w:r w:rsidR="00823588" w:rsidRPr="002865FD">
        <w:rPr>
          <w:rFonts w:ascii="Arial" w:hAnsi="Arial" w:cs="Arial"/>
          <w:sz w:val="22"/>
          <w:szCs w:val="22"/>
        </w:rPr>
        <w:t xml:space="preserve">ee </w:t>
      </w:r>
      <w:r w:rsidR="00823588" w:rsidRPr="002865FD">
        <w:rPr>
          <w:rFonts w:ascii="Arial" w:hAnsi="Arial" w:cs="Arial"/>
          <w:i/>
          <w:iCs/>
          <w:sz w:val="22"/>
          <w:szCs w:val="22"/>
        </w:rPr>
        <w:t>Chapter 5</w:t>
      </w:r>
      <w:r w:rsidR="00651C3E">
        <w:rPr>
          <w:rFonts w:ascii="Arial" w:hAnsi="Arial" w:cs="Arial"/>
          <w:i/>
          <w:iCs/>
          <w:sz w:val="22"/>
          <w:szCs w:val="22"/>
        </w:rPr>
        <w:t xml:space="preserve"> Procurement Procedures</w:t>
      </w:r>
      <w:r w:rsidR="00823588" w:rsidRPr="002865FD">
        <w:rPr>
          <w:rFonts w:ascii="Arial" w:hAnsi="Arial" w:cs="Arial"/>
          <w:i/>
          <w:iCs/>
          <w:sz w:val="22"/>
          <w:szCs w:val="22"/>
        </w:rPr>
        <w:t>.</w:t>
      </w:r>
    </w:p>
    <w:p w14:paraId="2DD21DF7" w14:textId="77777777" w:rsidR="009E70DE" w:rsidRDefault="009E70DE" w:rsidP="00FD015E">
      <w:pPr>
        <w:pStyle w:val="Default"/>
        <w:rPr>
          <w:rFonts w:ascii="Arial" w:hAnsi="Arial" w:cs="Arial"/>
          <w:sz w:val="22"/>
          <w:szCs w:val="22"/>
        </w:rPr>
      </w:pPr>
    </w:p>
    <w:p w14:paraId="40B419D4" w14:textId="7F52B19A" w:rsidR="00F270EC" w:rsidRDefault="00F270EC" w:rsidP="00FD015E">
      <w:pPr>
        <w:pStyle w:val="Heading2"/>
      </w:pPr>
      <w:bookmarkStart w:id="34" w:name="_Toc123116596"/>
      <w:bookmarkStart w:id="35" w:name="_Toc171791356"/>
      <w:r w:rsidRPr="0057500C">
        <w:t>10.1.8 Section 3 Economic Opportunities</w:t>
      </w:r>
      <w:bookmarkEnd w:id="34"/>
      <w:bookmarkEnd w:id="35"/>
    </w:p>
    <w:p w14:paraId="584FB833" w14:textId="77777777" w:rsidR="00F270EC" w:rsidRPr="00774194" w:rsidRDefault="00F270EC" w:rsidP="00FD015E"/>
    <w:p w14:paraId="1F81E403" w14:textId="77777777" w:rsidR="00167A80" w:rsidRPr="0093542E" w:rsidRDefault="00167A80" w:rsidP="00FD015E">
      <w:pPr>
        <w:pStyle w:val="CDGBBODYSTYLE"/>
        <w:spacing w:line="240" w:lineRule="auto"/>
        <w:jc w:val="left"/>
        <w:rPr>
          <w:rFonts w:eastAsiaTheme="minorHAnsi"/>
        </w:rPr>
      </w:pPr>
      <w:bookmarkStart w:id="36" w:name="_Hlk68882882"/>
      <w:bookmarkStart w:id="37" w:name="_Hlk69233341"/>
      <w:bookmarkStart w:id="38" w:name="_Hlk68883030"/>
      <w:r w:rsidRPr="0093542E">
        <w:t xml:space="preserve">Section 3 of the Housing and Urban Development Act of 1968 </w:t>
      </w:r>
      <w:r w:rsidRPr="0093542E">
        <w:rPr>
          <w:rFonts w:eastAsiaTheme="minorHAnsi"/>
        </w:rPr>
        <w:t>requires that, to the greatest extent feasible, economic opportunity</w:t>
      </w:r>
      <w:r>
        <w:rPr>
          <w:rFonts w:eastAsiaTheme="minorHAnsi"/>
        </w:rPr>
        <w:t xml:space="preserve"> </w:t>
      </w:r>
      <w:r w:rsidRPr="0093542E">
        <w:rPr>
          <w:rFonts w:eastAsiaTheme="minorHAnsi"/>
        </w:rPr>
        <w:t>generated by CDBG funds and other HUD assistance</w:t>
      </w:r>
      <w:r>
        <w:rPr>
          <w:rFonts w:eastAsiaTheme="minorHAnsi"/>
        </w:rPr>
        <w:t>,</w:t>
      </w:r>
      <w:r w:rsidRPr="00094E16">
        <w:rPr>
          <w:rFonts w:eastAsiaTheme="minorHAnsi"/>
        </w:rPr>
        <w:t xml:space="preserve"> </w:t>
      </w:r>
      <w:r w:rsidRPr="0093542E">
        <w:rPr>
          <w:rFonts w:eastAsiaTheme="minorHAnsi"/>
        </w:rPr>
        <w:t>most importantly employment, is directed to low- and very low-income persons, particularly those who are recipients of government assistance for housing, as well as residents of the community in which the federal funds are spent</w:t>
      </w:r>
      <w:bookmarkEnd w:id="36"/>
      <w:r w:rsidRPr="0093542E">
        <w:rPr>
          <w:rFonts w:eastAsiaTheme="minorHAnsi"/>
        </w:rPr>
        <w:t xml:space="preserve">. </w:t>
      </w:r>
      <w:bookmarkEnd w:id="37"/>
    </w:p>
    <w:p w14:paraId="55150F52" w14:textId="77777777" w:rsidR="00167A80" w:rsidRPr="0093542E" w:rsidRDefault="00167A80" w:rsidP="00FD015E">
      <w:pPr>
        <w:pStyle w:val="CDGBBODYSTYLE"/>
        <w:spacing w:line="240" w:lineRule="auto"/>
        <w:jc w:val="left"/>
        <w:rPr>
          <w:rFonts w:eastAsiaTheme="minorHAnsi"/>
        </w:rPr>
      </w:pPr>
    </w:p>
    <w:p w14:paraId="23F99A87" w14:textId="77777777" w:rsidR="00167A80" w:rsidRPr="0093542E" w:rsidRDefault="00167A80" w:rsidP="00FD015E">
      <w:pPr>
        <w:pStyle w:val="CDGBBODYSTYLE"/>
        <w:spacing w:line="240" w:lineRule="auto"/>
        <w:jc w:val="left"/>
        <w:rPr>
          <w:rFonts w:eastAsiaTheme="minorHAnsi"/>
        </w:rPr>
      </w:pPr>
      <w:r w:rsidRPr="0093542E">
        <w:rPr>
          <w:rFonts w:eastAsiaTheme="minorHAnsi"/>
        </w:rPr>
        <w:t>HUD established benchmarks for Section 3 goals and expects the TxCDBG program to cumulatively report 25% of the total labor hours for grant-assisted projects each year as performed by Section 3 Workers; the HUD benchmark for Targeted Section 3 Workers is 5% of total labor hours worked. Failure to achieve these benchmarks requires additional justification by the state, which may necessitate additional information from Grant Recipients.</w:t>
      </w:r>
    </w:p>
    <w:p w14:paraId="39A9E970" w14:textId="77777777" w:rsidR="00167A80" w:rsidRPr="0093542E" w:rsidRDefault="00167A80" w:rsidP="00FD015E">
      <w:pPr>
        <w:pStyle w:val="CDGBBODYSTYLE"/>
        <w:spacing w:line="240" w:lineRule="auto"/>
        <w:jc w:val="left"/>
        <w:rPr>
          <w:rFonts w:eastAsiaTheme="minorHAnsi"/>
        </w:rPr>
      </w:pPr>
    </w:p>
    <w:p w14:paraId="466D3099" w14:textId="503F1B2F" w:rsidR="00167A80" w:rsidRPr="0093542E" w:rsidRDefault="00167A80" w:rsidP="00FD015E">
      <w:pPr>
        <w:pStyle w:val="CDGBBODYSTYLE"/>
        <w:spacing w:line="240" w:lineRule="auto"/>
        <w:jc w:val="left"/>
        <w:rPr>
          <w:rFonts w:eastAsiaTheme="minorHAnsi"/>
        </w:rPr>
      </w:pPr>
      <w:r w:rsidRPr="0093542E">
        <w:rPr>
          <w:rFonts w:eastAsiaTheme="minorHAnsi"/>
        </w:rPr>
        <w:t>HUD’s administrative rules establish the requirements to be followed to ensure the objectives of Section 3 are met.</w:t>
      </w:r>
      <w:r w:rsidR="00013691">
        <w:rPr>
          <w:rStyle w:val="FootnoteReference"/>
          <w:rFonts w:eastAsiaTheme="minorHAnsi"/>
        </w:rPr>
        <w:footnoteReference w:id="15"/>
      </w:r>
      <w:r w:rsidRPr="0093542E">
        <w:rPr>
          <w:rFonts w:eastAsiaTheme="minorHAnsi"/>
        </w:rPr>
        <w:t xml:space="preserve">  Federal rules do not require Grant Recipients to contract or subcontract with a Section 3 business, nor do the rules require hiring of Section 3 workers.  However, Grant Recipients must be able to demonstrate that, where possible, contracting, employment, and training opportunities were made available to workers and businesses meeting Section 3 designation criteria. </w:t>
      </w:r>
    </w:p>
    <w:bookmarkEnd w:id="38"/>
    <w:p w14:paraId="393BEB35" w14:textId="77777777" w:rsidR="009E70DE" w:rsidRPr="0093542E" w:rsidRDefault="009E70DE" w:rsidP="00FD015E">
      <w:pPr>
        <w:autoSpaceDE w:val="0"/>
        <w:autoSpaceDN w:val="0"/>
        <w:adjustRightInd w:val="0"/>
        <w:rPr>
          <w:rFonts w:eastAsiaTheme="minorHAnsi" w:cs="Arial"/>
          <w:color w:val="000000"/>
          <w:szCs w:val="22"/>
        </w:rPr>
      </w:pPr>
    </w:p>
    <w:p w14:paraId="7FFECE53" w14:textId="77777777" w:rsidR="00167A80" w:rsidRPr="0093542E" w:rsidRDefault="00167A80" w:rsidP="00FD015E">
      <w:pPr>
        <w:autoSpaceDE w:val="0"/>
        <w:autoSpaceDN w:val="0"/>
        <w:adjustRightInd w:val="0"/>
        <w:rPr>
          <w:rFonts w:eastAsiaTheme="minorHAnsi" w:cs="Arial"/>
          <w:b/>
          <w:bCs/>
          <w:color w:val="000000"/>
          <w:szCs w:val="22"/>
        </w:rPr>
      </w:pPr>
      <w:r w:rsidRPr="0093542E">
        <w:rPr>
          <w:rFonts w:eastAsiaTheme="minorHAnsi" w:cs="Arial"/>
          <w:b/>
          <w:bCs/>
          <w:color w:val="000000"/>
          <w:szCs w:val="22"/>
        </w:rPr>
        <w:t>Applicability</w:t>
      </w:r>
    </w:p>
    <w:p w14:paraId="6D3E3B30" w14:textId="6890CC8A" w:rsidR="00167A80" w:rsidRPr="0093542E" w:rsidRDefault="00167A80" w:rsidP="00FD015E">
      <w:pPr>
        <w:autoSpaceDE w:val="0"/>
        <w:autoSpaceDN w:val="0"/>
        <w:adjustRightInd w:val="0"/>
        <w:rPr>
          <w:rFonts w:eastAsiaTheme="minorHAnsi" w:cs="Arial"/>
          <w:color w:val="000000"/>
          <w:szCs w:val="22"/>
        </w:rPr>
      </w:pPr>
      <w:r w:rsidRPr="0093542E">
        <w:rPr>
          <w:rFonts w:eastAsiaTheme="minorHAnsi" w:cs="Arial"/>
          <w:color w:val="000000"/>
          <w:szCs w:val="22"/>
        </w:rPr>
        <w:t xml:space="preserve">Section 3 requirements apply to all TxCDBG grants unless otherwise identified by this Implementation Manual or the </w:t>
      </w:r>
      <w:r w:rsidR="00013691">
        <w:rPr>
          <w:rFonts w:eastAsiaTheme="minorHAnsi" w:cs="Arial"/>
          <w:color w:val="000000"/>
          <w:szCs w:val="22"/>
        </w:rPr>
        <w:t>Grant Agreement</w:t>
      </w:r>
      <w:r w:rsidRPr="0093542E">
        <w:rPr>
          <w:rFonts w:eastAsiaTheme="minorHAnsi" w:cs="Arial"/>
          <w:color w:val="000000"/>
          <w:szCs w:val="22"/>
        </w:rPr>
        <w:t xml:space="preserve">. </w:t>
      </w:r>
    </w:p>
    <w:p w14:paraId="07719627" w14:textId="77777777" w:rsidR="00167A80" w:rsidRPr="0093542E" w:rsidRDefault="00167A80" w:rsidP="0028218E">
      <w:pPr>
        <w:pStyle w:val="ListParagraph"/>
        <w:numPr>
          <w:ilvl w:val="0"/>
          <w:numId w:val="3"/>
        </w:numPr>
        <w:autoSpaceDE w:val="0"/>
        <w:autoSpaceDN w:val="0"/>
        <w:adjustRightInd w:val="0"/>
        <w:rPr>
          <w:rFonts w:eastAsiaTheme="minorHAnsi" w:cs="Arial"/>
          <w:color w:val="000000"/>
          <w:szCs w:val="22"/>
        </w:rPr>
      </w:pPr>
      <w:r w:rsidRPr="0093542E">
        <w:rPr>
          <w:rFonts w:eastAsiaTheme="minorHAnsi" w:cs="Arial"/>
          <w:color w:val="000000"/>
          <w:szCs w:val="22"/>
        </w:rPr>
        <w:t xml:space="preserve">The requirements apply to the entire project that is funded with Section 3 covered financial assistance, regardless of whether the Section 3 project is fully- or </w:t>
      </w:r>
      <w:proofErr w:type="gramStart"/>
      <w:r w:rsidRPr="0093542E">
        <w:rPr>
          <w:rFonts w:eastAsiaTheme="minorHAnsi" w:cs="Arial"/>
          <w:color w:val="000000"/>
          <w:szCs w:val="22"/>
        </w:rPr>
        <w:t>partially-funded</w:t>
      </w:r>
      <w:proofErr w:type="gramEnd"/>
      <w:r w:rsidRPr="0093542E">
        <w:rPr>
          <w:rFonts w:eastAsiaTheme="minorHAnsi" w:cs="Arial"/>
          <w:color w:val="000000"/>
          <w:szCs w:val="22"/>
        </w:rPr>
        <w:t xml:space="preserve"> with CDBG assistance. </w:t>
      </w:r>
    </w:p>
    <w:p w14:paraId="2B9A176F" w14:textId="77777777" w:rsidR="00167A80" w:rsidRPr="00046331" w:rsidRDefault="00167A80" w:rsidP="0028218E">
      <w:pPr>
        <w:pStyle w:val="ListParagraph"/>
        <w:numPr>
          <w:ilvl w:val="0"/>
          <w:numId w:val="3"/>
        </w:numPr>
        <w:autoSpaceDE w:val="0"/>
        <w:autoSpaceDN w:val="0"/>
        <w:adjustRightInd w:val="0"/>
        <w:rPr>
          <w:rFonts w:eastAsiaTheme="minorHAnsi" w:cs="Arial"/>
          <w:szCs w:val="22"/>
        </w:rPr>
      </w:pPr>
      <w:r w:rsidRPr="0093542E">
        <w:rPr>
          <w:rFonts w:eastAsiaTheme="minorHAnsi" w:cs="Arial"/>
          <w:color w:val="000000"/>
          <w:szCs w:val="22"/>
        </w:rPr>
        <w:t xml:space="preserve">All construction and </w:t>
      </w:r>
      <w:r w:rsidRPr="00046331">
        <w:rPr>
          <w:rFonts w:eastAsiaTheme="minorHAnsi" w:cs="Arial"/>
          <w:szCs w:val="22"/>
        </w:rPr>
        <w:t xml:space="preserve">administrative services contracts must comply with the programmatic requirements below. </w:t>
      </w:r>
    </w:p>
    <w:p w14:paraId="5181B8D1" w14:textId="77777777" w:rsidR="00167A80" w:rsidRPr="00046331" w:rsidRDefault="00167A80" w:rsidP="0028218E">
      <w:pPr>
        <w:pStyle w:val="ListParagraph"/>
        <w:numPr>
          <w:ilvl w:val="0"/>
          <w:numId w:val="3"/>
        </w:numPr>
        <w:autoSpaceDE w:val="0"/>
        <w:autoSpaceDN w:val="0"/>
        <w:adjustRightInd w:val="0"/>
        <w:rPr>
          <w:rFonts w:eastAsiaTheme="minorHAnsi" w:cs="Arial"/>
          <w:szCs w:val="22"/>
        </w:rPr>
      </w:pPr>
      <w:r w:rsidRPr="00046331">
        <w:rPr>
          <w:rFonts w:eastAsiaTheme="minorHAnsi" w:cs="Arial"/>
          <w:szCs w:val="22"/>
        </w:rPr>
        <w:t xml:space="preserve">All work performed by employees of the Grant Recipient and its partners, regardless of whether force account cost reimbursement is requested, must comply with the programmatic requirements below. </w:t>
      </w:r>
    </w:p>
    <w:p w14:paraId="789C0C4E" w14:textId="77777777" w:rsidR="00167A80" w:rsidRPr="0093542E" w:rsidRDefault="00167A80" w:rsidP="0028218E">
      <w:pPr>
        <w:pStyle w:val="ListParagraph"/>
        <w:numPr>
          <w:ilvl w:val="0"/>
          <w:numId w:val="3"/>
        </w:numPr>
        <w:autoSpaceDE w:val="0"/>
        <w:autoSpaceDN w:val="0"/>
        <w:adjustRightInd w:val="0"/>
        <w:rPr>
          <w:rFonts w:eastAsiaTheme="minorHAnsi" w:cs="Arial"/>
          <w:color w:val="000000"/>
          <w:szCs w:val="22"/>
        </w:rPr>
      </w:pPr>
      <w:r w:rsidRPr="0093542E">
        <w:rPr>
          <w:rFonts w:eastAsiaTheme="minorHAnsi" w:cs="Arial"/>
          <w:color w:val="000000"/>
          <w:szCs w:val="22"/>
        </w:rPr>
        <w:t xml:space="preserve">Section 3 goals and data reporting requirements generally do not apply to contracts for materials, planning, and professional services.  Professional services include non-construction services that require an advanced degree or professional licensing (e.g., engineering, architecture, land surveying, accounting). </w:t>
      </w:r>
    </w:p>
    <w:p w14:paraId="1590F922" w14:textId="77777777" w:rsidR="00167A80" w:rsidRPr="0093542E" w:rsidRDefault="00167A80" w:rsidP="00FD015E">
      <w:pPr>
        <w:pStyle w:val="ListParagraph"/>
        <w:autoSpaceDE w:val="0"/>
        <w:autoSpaceDN w:val="0"/>
        <w:adjustRightInd w:val="0"/>
        <w:ind w:hanging="360"/>
        <w:rPr>
          <w:rFonts w:eastAsiaTheme="minorHAnsi" w:cs="Arial"/>
          <w:color w:val="000000"/>
          <w:szCs w:val="22"/>
        </w:rPr>
      </w:pPr>
    </w:p>
    <w:p w14:paraId="75B25D4C" w14:textId="77777777" w:rsidR="00167A80" w:rsidRPr="0093542E" w:rsidRDefault="00167A80" w:rsidP="00FD015E">
      <w:pPr>
        <w:pStyle w:val="Default"/>
        <w:rPr>
          <w:rFonts w:ascii="Arial" w:hAnsi="Arial" w:cs="Arial"/>
          <w:b/>
          <w:color w:val="auto"/>
          <w:sz w:val="22"/>
          <w:szCs w:val="22"/>
        </w:rPr>
      </w:pPr>
      <w:bookmarkStart w:id="39" w:name="_Hlk69233681"/>
      <w:bookmarkStart w:id="40" w:name="_Hlk71195706"/>
      <w:r w:rsidRPr="0093542E">
        <w:rPr>
          <w:rFonts w:ascii="Arial" w:hAnsi="Arial" w:cs="Arial"/>
          <w:b/>
          <w:color w:val="auto"/>
          <w:sz w:val="22"/>
          <w:szCs w:val="22"/>
        </w:rPr>
        <w:t>Section 3 C</w:t>
      </w:r>
      <w:r w:rsidRPr="0093542E">
        <w:rPr>
          <w:rFonts w:ascii="Arial" w:eastAsiaTheme="minorHAnsi" w:hAnsi="Arial" w:cs="Arial"/>
          <w:b/>
          <w:sz w:val="22"/>
          <w:szCs w:val="22"/>
        </w:rPr>
        <w:t>ompliance</w:t>
      </w:r>
    </w:p>
    <w:p w14:paraId="56B2258B" w14:textId="4812CA7C" w:rsidR="00167A80" w:rsidRDefault="00167A80" w:rsidP="00FD015E">
      <w:pPr>
        <w:pStyle w:val="Default"/>
        <w:rPr>
          <w:rFonts w:ascii="Arial" w:hAnsi="Arial" w:cs="Arial"/>
          <w:bCs/>
          <w:color w:val="auto"/>
          <w:sz w:val="22"/>
          <w:szCs w:val="22"/>
        </w:rPr>
      </w:pPr>
      <w:r w:rsidRPr="0093542E">
        <w:rPr>
          <w:rFonts w:ascii="Arial" w:hAnsi="Arial" w:cs="Arial"/>
          <w:bCs/>
          <w:color w:val="auto"/>
          <w:sz w:val="22"/>
          <w:szCs w:val="22"/>
        </w:rPr>
        <w:t xml:space="preserve">Grant Recipients must complete each of the following steps </w:t>
      </w:r>
      <w:proofErr w:type="gramStart"/>
      <w:r w:rsidRPr="0093542E">
        <w:rPr>
          <w:rFonts w:ascii="Arial" w:hAnsi="Arial" w:cs="Arial"/>
          <w:bCs/>
          <w:color w:val="auto"/>
          <w:sz w:val="22"/>
          <w:szCs w:val="22"/>
        </w:rPr>
        <w:t>in order to</w:t>
      </w:r>
      <w:proofErr w:type="gramEnd"/>
      <w:r w:rsidRPr="0093542E">
        <w:rPr>
          <w:rFonts w:ascii="Arial" w:hAnsi="Arial" w:cs="Arial"/>
          <w:bCs/>
          <w:color w:val="auto"/>
          <w:sz w:val="22"/>
          <w:szCs w:val="22"/>
        </w:rPr>
        <w:t xml:space="preserve"> be considered compliant with Section 3 programmatic requirements</w:t>
      </w:r>
      <w:r w:rsidR="009E70DE">
        <w:rPr>
          <w:rFonts w:ascii="Arial" w:hAnsi="Arial" w:cs="Arial"/>
          <w:bCs/>
          <w:color w:val="auto"/>
          <w:sz w:val="22"/>
          <w:szCs w:val="22"/>
        </w:rPr>
        <w:t>. K</w:t>
      </w:r>
      <w:r w:rsidRPr="0093542E">
        <w:rPr>
          <w:rFonts w:ascii="Arial" w:hAnsi="Arial" w:cs="Arial"/>
          <w:bCs/>
          <w:color w:val="auto"/>
          <w:sz w:val="22"/>
          <w:szCs w:val="22"/>
        </w:rPr>
        <w:t>ey terms for these steps are described in the following sections:</w:t>
      </w:r>
    </w:p>
    <w:p w14:paraId="0B5725EF" w14:textId="77777777" w:rsidR="00167A80" w:rsidRPr="0093542E" w:rsidRDefault="00167A80" w:rsidP="00FD015E">
      <w:pPr>
        <w:pStyle w:val="Default"/>
        <w:rPr>
          <w:rFonts w:ascii="Arial" w:hAnsi="Arial" w:cs="Arial"/>
          <w:bCs/>
          <w:color w:val="auto"/>
          <w:sz w:val="22"/>
          <w:szCs w:val="22"/>
        </w:rPr>
      </w:pPr>
    </w:p>
    <w:p w14:paraId="5A1F1440" w14:textId="2DC76849" w:rsidR="005230F1" w:rsidRDefault="009E70DE" w:rsidP="00FD015E">
      <w:pPr>
        <w:pStyle w:val="Default"/>
        <w:rPr>
          <w:rFonts w:ascii="Arial" w:hAnsi="Arial" w:cs="Arial"/>
          <w:bCs/>
          <w:color w:val="auto"/>
          <w:sz w:val="22"/>
          <w:szCs w:val="22"/>
        </w:rPr>
      </w:pPr>
      <w:r w:rsidRPr="009400BC">
        <w:rPr>
          <w:rFonts w:ascii="Arial" w:hAnsi="Arial" w:cs="Arial"/>
          <w:bCs/>
          <w:color w:val="auto"/>
          <w:sz w:val="22"/>
          <w:szCs w:val="22"/>
          <w:u w:val="single"/>
        </w:rPr>
        <w:t>I</w:t>
      </w:r>
      <w:r w:rsidR="00167A80" w:rsidRPr="009400BC">
        <w:rPr>
          <w:rFonts w:ascii="Arial" w:hAnsi="Arial" w:cs="Arial"/>
          <w:bCs/>
          <w:color w:val="auto"/>
          <w:sz w:val="22"/>
          <w:szCs w:val="22"/>
          <w:u w:val="single"/>
        </w:rPr>
        <w:t>dentify the Section 3 Service Area</w:t>
      </w:r>
      <w:r w:rsidR="00167A80" w:rsidRPr="0093542E">
        <w:rPr>
          <w:rFonts w:ascii="Arial" w:hAnsi="Arial" w:cs="Arial"/>
          <w:bCs/>
          <w:color w:val="auto"/>
          <w:sz w:val="22"/>
          <w:szCs w:val="22"/>
        </w:rPr>
        <w:t xml:space="preserve"> </w:t>
      </w:r>
    </w:p>
    <w:p w14:paraId="240DDEB2" w14:textId="4AA55373" w:rsidR="00536C6E" w:rsidRPr="00CC5E1D" w:rsidRDefault="00536C6E" w:rsidP="00FD015E">
      <w:pPr>
        <w:pStyle w:val="Default"/>
        <w:rPr>
          <w:rFonts w:ascii="Arial" w:hAnsi="Arial" w:cs="Arial"/>
          <w:bCs/>
          <w:color w:val="auto"/>
          <w:sz w:val="22"/>
          <w:szCs w:val="22"/>
        </w:rPr>
      </w:pPr>
      <w:r w:rsidRPr="0093542E">
        <w:rPr>
          <w:rFonts w:ascii="Arial" w:eastAsiaTheme="minorHAnsi" w:hAnsi="Arial" w:cs="Arial"/>
          <w:sz w:val="22"/>
          <w:szCs w:val="22"/>
        </w:rPr>
        <w:t>A Section 3 Service Area for a TxCDBG project is determined as follows:</w:t>
      </w:r>
    </w:p>
    <w:p w14:paraId="43251E0B" w14:textId="56C52FAB" w:rsidR="00536C6E" w:rsidRPr="00056AA6" w:rsidRDefault="00536C6E" w:rsidP="0028218E">
      <w:pPr>
        <w:pStyle w:val="ListParagraph"/>
        <w:numPr>
          <w:ilvl w:val="0"/>
          <w:numId w:val="5"/>
        </w:numPr>
        <w:autoSpaceDE w:val="0"/>
        <w:autoSpaceDN w:val="0"/>
        <w:adjustRightInd w:val="0"/>
        <w:ind w:left="720"/>
        <w:rPr>
          <w:rFonts w:eastAsiaTheme="minorHAnsi" w:cs="Arial"/>
          <w:szCs w:val="22"/>
        </w:rPr>
      </w:pPr>
      <w:r w:rsidRPr="0093542E">
        <w:rPr>
          <w:rFonts w:eastAsiaTheme="minorHAnsi" w:cs="Arial"/>
          <w:color w:val="000000"/>
          <w:szCs w:val="22"/>
        </w:rPr>
        <w:t xml:space="preserve">Identify the project site. For infrastructure projects, the project site is the area included in the </w:t>
      </w:r>
      <w:r w:rsidRPr="00056AA6">
        <w:rPr>
          <w:rFonts w:eastAsiaTheme="minorHAnsi" w:cs="Arial"/>
          <w:szCs w:val="22"/>
        </w:rPr>
        <w:t xml:space="preserve">Environmental Review project description.  The </w:t>
      </w:r>
      <w:r w:rsidR="00EE50DF" w:rsidRPr="00056AA6">
        <w:rPr>
          <w:rFonts w:eastAsiaTheme="minorHAnsi" w:cs="Arial"/>
          <w:szCs w:val="22"/>
        </w:rPr>
        <w:t xml:space="preserve">address of the </w:t>
      </w:r>
      <w:r w:rsidRPr="00056AA6">
        <w:rPr>
          <w:rFonts w:eastAsiaTheme="minorHAnsi" w:cs="Arial"/>
          <w:szCs w:val="22"/>
        </w:rPr>
        <w:t>center point of this project site is the basis for the Section 3 Service Area.</w:t>
      </w:r>
    </w:p>
    <w:p w14:paraId="07B142CE" w14:textId="5108A154" w:rsidR="00EE50DF" w:rsidRPr="00056AA6" w:rsidRDefault="00EE50DF" w:rsidP="0028218E">
      <w:pPr>
        <w:pStyle w:val="ListParagraph"/>
        <w:numPr>
          <w:ilvl w:val="0"/>
          <w:numId w:val="5"/>
        </w:numPr>
        <w:autoSpaceDE w:val="0"/>
        <w:autoSpaceDN w:val="0"/>
        <w:adjustRightInd w:val="0"/>
        <w:ind w:left="720"/>
        <w:rPr>
          <w:rFonts w:eastAsiaTheme="minorHAnsi" w:cs="Arial"/>
          <w:szCs w:val="22"/>
        </w:rPr>
      </w:pPr>
      <w:r w:rsidRPr="00056AA6">
        <w:rPr>
          <w:rFonts w:eastAsiaTheme="minorHAnsi" w:cs="Arial"/>
          <w:szCs w:val="22"/>
        </w:rPr>
        <w:t>Use HUD’s Neighborhood Service Area Definition Tool</w:t>
      </w:r>
      <w:r w:rsidRPr="00056AA6">
        <w:rPr>
          <w:rStyle w:val="FootnoteReference"/>
          <w:rFonts w:eastAsiaTheme="minorHAnsi" w:cs="Arial"/>
          <w:szCs w:val="22"/>
        </w:rPr>
        <w:footnoteReference w:id="16"/>
      </w:r>
      <w:r w:rsidRPr="00056AA6">
        <w:rPr>
          <w:rFonts w:eastAsiaTheme="minorHAnsi" w:cs="Arial"/>
          <w:szCs w:val="22"/>
        </w:rPr>
        <w:t xml:space="preserve"> to identify an area in which a minimum of 5,000 persons </w:t>
      </w:r>
      <w:proofErr w:type="gramStart"/>
      <w:r w:rsidRPr="00056AA6">
        <w:rPr>
          <w:rFonts w:eastAsiaTheme="minorHAnsi" w:cs="Arial"/>
          <w:szCs w:val="22"/>
        </w:rPr>
        <w:t>reside</w:t>
      </w:r>
      <w:proofErr w:type="gramEnd"/>
      <w:r w:rsidRPr="00056AA6">
        <w:rPr>
          <w:rFonts w:eastAsiaTheme="minorHAnsi" w:cs="Arial"/>
          <w:szCs w:val="22"/>
        </w:rPr>
        <w:t>.</w:t>
      </w:r>
    </w:p>
    <w:p w14:paraId="173F059F" w14:textId="7FE39315" w:rsidR="005230F1" w:rsidRPr="00056AA6" w:rsidRDefault="00167A80" w:rsidP="00FD015E">
      <w:pPr>
        <w:pStyle w:val="Default"/>
        <w:rPr>
          <w:rFonts w:ascii="Arial" w:hAnsi="Arial" w:cs="Arial"/>
          <w:bCs/>
          <w:color w:val="auto"/>
          <w:sz w:val="22"/>
          <w:szCs w:val="22"/>
          <w:u w:val="single"/>
        </w:rPr>
      </w:pPr>
      <w:r w:rsidRPr="00056AA6">
        <w:rPr>
          <w:rFonts w:ascii="Arial" w:hAnsi="Arial" w:cs="Arial"/>
          <w:bCs/>
          <w:color w:val="auto"/>
          <w:sz w:val="22"/>
          <w:szCs w:val="22"/>
          <w:u w:val="single"/>
        </w:rPr>
        <w:t xml:space="preserve">Facilitate </w:t>
      </w:r>
      <w:r w:rsidR="009E70DE" w:rsidRPr="00056AA6">
        <w:rPr>
          <w:rFonts w:ascii="Arial" w:hAnsi="Arial" w:cs="Arial"/>
          <w:bCs/>
          <w:color w:val="auto"/>
          <w:sz w:val="22"/>
          <w:szCs w:val="22"/>
          <w:u w:val="single"/>
        </w:rPr>
        <w:t>C</w:t>
      </w:r>
      <w:r w:rsidRPr="00056AA6">
        <w:rPr>
          <w:rFonts w:ascii="Arial" w:hAnsi="Arial" w:cs="Arial"/>
          <w:bCs/>
          <w:color w:val="auto"/>
          <w:sz w:val="22"/>
          <w:szCs w:val="22"/>
          <w:u w:val="single"/>
        </w:rPr>
        <w:t xml:space="preserve">ontracting </w:t>
      </w:r>
      <w:r w:rsidR="009E70DE" w:rsidRPr="00056AA6">
        <w:rPr>
          <w:rFonts w:ascii="Arial" w:hAnsi="Arial" w:cs="Arial"/>
          <w:bCs/>
          <w:color w:val="auto"/>
          <w:sz w:val="22"/>
          <w:szCs w:val="22"/>
          <w:u w:val="single"/>
        </w:rPr>
        <w:t>O</w:t>
      </w:r>
      <w:r w:rsidRPr="00056AA6">
        <w:rPr>
          <w:rFonts w:ascii="Arial" w:hAnsi="Arial" w:cs="Arial"/>
          <w:bCs/>
          <w:color w:val="auto"/>
          <w:sz w:val="22"/>
          <w:szCs w:val="22"/>
          <w:u w:val="single"/>
        </w:rPr>
        <w:t xml:space="preserve">pportunities for Section 3 Businesses  </w:t>
      </w:r>
    </w:p>
    <w:p w14:paraId="3928CD17" w14:textId="0F5F466E" w:rsidR="009400BC" w:rsidRPr="00056AA6" w:rsidRDefault="00167A80" w:rsidP="00AC2C07">
      <w:pPr>
        <w:pStyle w:val="Default"/>
        <w:rPr>
          <w:rFonts w:ascii="Arial" w:hAnsi="Arial" w:cs="Arial"/>
          <w:bCs/>
          <w:color w:val="auto"/>
          <w:sz w:val="22"/>
          <w:szCs w:val="22"/>
        </w:rPr>
      </w:pPr>
      <w:r w:rsidRPr="00056AA6">
        <w:rPr>
          <w:rFonts w:ascii="Arial" w:hAnsi="Arial" w:cs="Arial"/>
          <w:bCs/>
          <w:color w:val="auto"/>
          <w:sz w:val="22"/>
          <w:szCs w:val="22"/>
        </w:rPr>
        <w:t xml:space="preserve">Prior to procuring or selecting any contract for construction services, the contracting opportunity must be reported to </w:t>
      </w:r>
      <w:r w:rsidR="00AC2C07" w:rsidRPr="00056AA6">
        <w:rPr>
          <w:rFonts w:ascii="Arial" w:hAnsi="Arial" w:cs="Arial"/>
          <w:bCs/>
          <w:color w:val="auto"/>
          <w:sz w:val="22"/>
          <w:szCs w:val="22"/>
        </w:rPr>
        <w:t xml:space="preserve">relevant </w:t>
      </w:r>
      <w:r w:rsidRPr="00056AA6">
        <w:rPr>
          <w:rFonts w:ascii="Arial" w:hAnsi="Arial" w:cs="Arial"/>
          <w:bCs/>
          <w:color w:val="auto"/>
          <w:sz w:val="22"/>
          <w:szCs w:val="22"/>
        </w:rPr>
        <w:t xml:space="preserve">resources in addition to any public advertisements required </w:t>
      </w:r>
      <w:r w:rsidR="00AD7B6E" w:rsidRPr="00056AA6">
        <w:rPr>
          <w:rFonts w:ascii="Arial" w:hAnsi="Arial" w:cs="Arial"/>
          <w:bCs/>
          <w:color w:val="auto"/>
          <w:sz w:val="22"/>
          <w:szCs w:val="22"/>
        </w:rPr>
        <w:t>for competitive procurement.  See</w:t>
      </w:r>
      <w:r w:rsidRPr="00056AA6">
        <w:rPr>
          <w:rFonts w:ascii="Arial" w:hAnsi="Arial" w:cs="Arial"/>
          <w:bCs/>
          <w:color w:val="auto"/>
          <w:sz w:val="22"/>
          <w:szCs w:val="22"/>
        </w:rPr>
        <w:t xml:space="preserve"> </w:t>
      </w:r>
      <w:r w:rsidRPr="00056AA6">
        <w:rPr>
          <w:rFonts w:ascii="Arial" w:hAnsi="Arial" w:cs="Arial"/>
          <w:bCs/>
          <w:i/>
          <w:iCs/>
          <w:color w:val="auto"/>
          <w:sz w:val="22"/>
          <w:szCs w:val="22"/>
        </w:rPr>
        <w:t>Chapter 5 Procurement</w:t>
      </w:r>
      <w:r w:rsidR="005230F1" w:rsidRPr="00056AA6">
        <w:rPr>
          <w:rFonts w:ascii="Arial" w:hAnsi="Arial" w:cs="Arial"/>
          <w:bCs/>
          <w:i/>
          <w:iCs/>
          <w:color w:val="auto"/>
          <w:sz w:val="22"/>
          <w:szCs w:val="22"/>
        </w:rPr>
        <w:t xml:space="preserve"> Procedures</w:t>
      </w:r>
      <w:r w:rsidR="00AD7B6E" w:rsidRPr="00056AA6">
        <w:rPr>
          <w:rFonts w:ascii="Arial" w:hAnsi="Arial" w:cs="Arial"/>
          <w:bCs/>
          <w:color w:val="auto"/>
          <w:sz w:val="22"/>
          <w:szCs w:val="22"/>
        </w:rPr>
        <w:t xml:space="preserve"> </w:t>
      </w:r>
      <w:r w:rsidR="00AC2C07" w:rsidRPr="00056AA6">
        <w:rPr>
          <w:rFonts w:ascii="Arial" w:hAnsi="Arial" w:cs="Arial"/>
          <w:bCs/>
          <w:color w:val="auto"/>
          <w:sz w:val="22"/>
          <w:szCs w:val="22"/>
        </w:rPr>
        <w:t xml:space="preserve">for details.  </w:t>
      </w:r>
    </w:p>
    <w:p w14:paraId="63F825F0" w14:textId="77777777" w:rsidR="009400BC" w:rsidRDefault="009400BC" w:rsidP="00AC2C07">
      <w:pPr>
        <w:pStyle w:val="Default"/>
        <w:rPr>
          <w:rFonts w:ascii="Arial" w:hAnsi="Arial" w:cs="Arial"/>
          <w:bCs/>
          <w:strike/>
          <w:color w:val="538135" w:themeColor="accent6" w:themeShade="BF"/>
          <w:sz w:val="22"/>
          <w:szCs w:val="22"/>
        </w:rPr>
      </w:pPr>
    </w:p>
    <w:p w14:paraId="2D401654" w14:textId="77777777" w:rsidR="009E70DE" w:rsidRPr="0093542E" w:rsidRDefault="009E70DE" w:rsidP="00FD015E">
      <w:pPr>
        <w:pStyle w:val="Default"/>
        <w:ind w:left="1080"/>
        <w:rPr>
          <w:rFonts w:ascii="Arial" w:hAnsi="Arial" w:cs="Arial"/>
          <w:bCs/>
          <w:color w:val="auto"/>
          <w:sz w:val="22"/>
          <w:szCs w:val="22"/>
        </w:rPr>
      </w:pPr>
    </w:p>
    <w:p w14:paraId="4E5B3896" w14:textId="6D4A368E" w:rsidR="005230F1" w:rsidRDefault="00167A80" w:rsidP="00FD015E">
      <w:pPr>
        <w:pStyle w:val="CDGBBODYSTYLE"/>
        <w:spacing w:line="240" w:lineRule="auto"/>
        <w:jc w:val="left"/>
      </w:pPr>
      <w:r w:rsidRPr="009A3478">
        <w:rPr>
          <w:bCs/>
          <w:u w:val="single"/>
        </w:rPr>
        <w:t xml:space="preserve">Facilitate </w:t>
      </w:r>
      <w:r w:rsidR="00E87AF7" w:rsidRPr="009A3478">
        <w:rPr>
          <w:bCs/>
          <w:u w:val="single"/>
        </w:rPr>
        <w:t>G</w:t>
      </w:r>
      <w:r w:rsidRPr="009A3478">
        <w:rPr>
          <w:bCs/>
          <w:u w:val="single"/>
        </w:rPr>
        <w:t xml:space="preserve">eneral </w:t>
      </w:r>
      <w:r w:rsidR="00E87AF7" w:rsidRPr="009A3478">
        <w:rPr>
          <w:bCs/>
          <w:u w:val="single"/>
        </w:rPr>
        <w:t>E</w:t>
      </w:r>
      <w:r w:rsidRPr="009A3478">
        <w:rPr>
          <w:bCs/>
          <w:u w:val="single"/>
        </w:rPr>
        <w:t xml:space="preserve">mployment </w:t>
      </w:r>
      <w:r w:rsidR="00E87AF7" w:rsidRPr="009A3478">
        <w:rPr>
          <w:bCs/>
          <w:u w:val="single"/>
        </w:rPr>
        <w:t>O</w:t>
      </w:r>
      <w:r w:rsidRPr="009A3478">
        <w:rPr>
          <w:bCs/>
          <w:u w:val="single"/>
        </w:rPr>
        <w:t xml:space="preserve">pportunity </w:t>
      </w:r>
      <w:r w:rsidR="00E87AF7" w:rsidRPr="009A3478">
        <w:rPr>
          <w:bCs/>
          <w:u w:val="single"/>
        </w:rPr>
        <w:t>I</w:t>
      </w:r>
      <w:r w:rsidRPr="009A3478">
        <w:rPr>
          <w:bCs/>
          <w:u w:val="single"/>
        </w:rPr>
        <w:t>nformation for Section 3 Workers</w:t>
      </w:r>
    </w:p>
    <w:p w14:paraId="4FA832BB" w14:textId="7B5F9DA0" w:rsidR="005230F1" w:rsidRPr="00F36FEB" w:rsidRDefault="00167A80" w:rsidP="00FD015E">
      <w:pPr>
        <w:pStyle w:val="CDGBBODYSTYLE"/>
        <w:spacing w:line="240" w:lineRule="auto"/>
        <w:jc w:val="left"/>
      </w:pPr>
      <w:r w:rsidRPr="0093542E">
        <w:t xml:space="preserve">In an open meeting of the local governing body, the Grant Recipient must </w:t>
      </w:r>
      <w:r w:rsidRPr="00281CFB">
        <w:t xml:space="preserve">present the Section 3 goals of the CDBG program. This item must be reflected in the agenda and/or minutes of the meeting. TDA recommends completing this step at the meeting </w:t>
      </w:r>
      <w:r w:rsidR="00DD505F" w:rsidRPr="00281CFB">
        <w:t>prior to the first publication for a construction bid process</w:t>
      </w:r>
      <w:r w:rsidRPr="00281CFB">
        <w:t xml:space="preserve">; however, in all cases it must be completed prior to requesting grant </w:t>
      </w:r>
      <w:r w:rsidRPr="00F36FEB">
        <w:t>funds to reimburse construction costs</w:t>
      </w:r>
      <w:r w:rsidR="005230F1" w:rsidRPr="00F36FEB">
        <w:t>, s</w:t>
      </w:r>
      <w:r w:rsidRPr="00F36FEB">
        <w:t xml:space="preserve">ee </w:t>
      </w:r>
      <w:r w:rsidRPr="00F36FEB">
        <w:rPr>
          <w:i/>
          <w:iCs/>
        </w:rPr>
        <w:t xml:space="preserve">Chapter </w:t>
      </w:r>
      <w:r w:rsidR="00DD505F" w:rsidRPr="00F36FEB">
        <w:rPr>
          <w:i/>
          <w:iCs/>
        </w:rPr>
        <w:t>1</w:t>
      </w:r>
      <w:r w:rsidR="005230F1" w:rsidRPr="00F36FEB">
        <w:rPr>
          <w:i/>
          <w:iCs/>
        </w:rPr>
        <w:t xml:space="preserve"> Administration and Reporting</w:t>
      </w:r>
      <w:r w:rsidR="005230F1" w:rsidRPr="00F36FEB">
        <w:t>.</w:t>
      </w:r>
    </w:p>
    <w:p w14:paraId="3FACE95F" w14:textId="702A29D1" w:rsidR="00167A80" w:rsidRPr="00F36FEB" w:rsidRDefault="00167A80" w:rsidP="00FD015E">
      <w:pPr>
        <w:pStyle w:val="CDGBBODYSTYLE"/>
        <w:spacing w:line="240" w:lineRule="auto"/>
        <w:jc w:val="left"/>
      </w:pPr>
      <w:r w:rsidRPr="00F36FEB">
        <w:t>The presentation must include</w:t>
      </w:r>
      <w:r w:rsidR="00AD7B6E">
        <w:t>:</w:t>
      </w:r>
    </w:p>
    <w:p w14:paraId="76C69FD2" w14:textId="490BE559" w:rsidR="00167A80" w:rsidRPr="00F36FEB" w:rsidRDefault="00167A80" w:rsidP="0028218E">
      <w:pPr>
        <w:pStyle w:val="Default"/>
        <w:numPr>
          <w:ilvl w:val="1"/>
          <w:numId w:val="12"/>
        </w:numPr>
        <w:ind w:left="720"/>
        <w:rPr>
          <w:rFonts w:ascii="Arial" w:hAnsi="Arial" w:cs="Arial"/>
          <w:bCs/>
          <w:color w:val="auto"/>
          <w:sz w:val="22"/>
          <w:szCs w:val="22"/>
        </w:rPr>
      </w:pPr>
      <w:r w:rsidRPr="00F36FEB">
        <w:rPr>
          <w:rFonts w:ascii="Arial" w:hAnsi="Arial" w:cs="Arial"/>
          <w:bCs/>
          <w:color w:val="auto"/>
          <w:sz w:val="22"/>
          <w:szCs w:val="22"/>
        </w:rPr>
        <w:t xml:space="preserve">Texas Workforce Solutions </w:t>
      </w:r>
      <w:r w:rsidR="000748A5">
        <w:rPr>
          <w:rFonts w:ascii="Arial" w:hAnsi="Arial" w:cs="Arial"/>
          <w:bCs/>
          <w:color w:val="auto"/>
          <w:sz w:val="22"/>
          <w:szCs w:val="22"/>
        </w:rPr>
        <w:t>–</w:t>
      </w:r>
      <w:r w:rsidRPr="00F36FEB">
        <w:rPr>
          <w:rFonts w:ascii="Arial" w:hAnsi="Arial" w:cs="Arial"/>
          <w:bCs/>
          <w:color w:val="auto"/>
          <w:sz w:val="22"/>
          <w:szCs w:val="22"/>
        </w:rPr>
        <w:t xml:space="preserve"> WorkInTexas.com and </w:t>
      </w:r>
    </w:p>
    <w:p w14:paraId="3CEE3C9E" w14:textId="7BBCCAF5" w:rsidR="00167A80" w:rsidRPr="00F36FEB" w:rsidRDefault="005230F1" w:rsidP="0028218E">
      <w:pPr>
        <w:pStyle w:val="Default"/>
        <w:numPr>
          <w:ilvl w:val="1"/>
          <w:numId w:val="12"/>
        </w:numPr>
        <w:ind w:left="720"/>
        <w:rPr>
          <w:rFonts w:ascii="Arial" w:hAnsi="Arial" w:cs="Arial"/>
          <w:bCs/>
          <w:color w:val="auto"/>
          <w:sz w:val="22"/>
          <w:szCs w:val="22"/>
        </w:rPr>
      </w:pPr>
      <w:r w:rsidRPr="00F36FEB">
        <w:rPr>
          <w:rFonts w:ascii="Arial" w:hAnsi="Arial" w:cs="Arial"/>
          <w:bCs/>
          <w:color w:val="auto"/>
          <w:sz w:val="22"/>
          <w:szCs w:val="22"/>
        </w:rPr>
        <w:t>O</w:t>
      </w:r>
      <w:r w:rsidR="00167A80" w:rsidRPr="00F36FEB">
        <w:rPr>
          <w:rFonts w:ascii="Arial" w:hAnsi="Arial" w:cs="Arial"/>
          <w:bCs/>
          <w:color w:val="auto"/>
          <w:sz w:val="22"/>
          <w:szCs w:val="22"/>
        </w:rPr>
        <w:t xml:space="preserve">ther Section 3 information as described in the </w:t>
      </w:r>
      <w:bookmarkStart w:id="41" w:name="_Hlk71217063"/>
      <w:r w:rsidR="00167A80" w:rsidRPr="00F36FEB">
        <w:rPr>
          <w:rFonts w:ascii="Arial" w:hAnsi="Arial" w:cs="Arial"/>
          <w:bCs/>
          <w:i/>
          <w:iCs/>
          <w:color w:val="auto"/>
          <w:sz w:val="22"/>
          <w:szCs w:val="22"/>
        </w:rPr>
        <w:t>Section 3 Sample Presentation to Local Community</w:t>
      </w:r>
      <w:r w:rsidR="00167A80" w:rsidRPr="00F36FEB">
        <w:rPr>
          <w:rFonts w:ascii="Arial" w:hAnsi="Arial" w:cs="Arial"/>
          <w:bCs/>
          <w:color w:val="auto"/>
          <w:sz w:val="22"/>
          <w:szCs w:val="22"/>
        </w:rPr>
        <w:t xml:space="preserve"> </w:t>
      </w:r>
      <w:r w:rsidR="00167A80" w:rsidRPr="00F36FEB">
        <w:rPr>
          <w:rFonts w:ascii="Arial" w:hAnsi="Arial" w:cs="Arial"/>
          <w:b/>
          <w:color w:val="auto"/>
          <w:sz w:val="22"/>
          <w:szCs w:val="22"/>
        </w:rPr>
        <w:t>(Form A1024).</w:t>
      </w:r>
      <w:bookmarkEnd w:id="41"/>
    </w:p>
    <w:p w14:paraId="1A9840A8" w14:textId="77777777" w:rsidR="00167A80" w:rsidRPr="002865FD" w:rsidRDefault="00167A80" w:rsidP="00FD015E">
      <w:pPr>
        <w:pStyle w:val="Default"/>
        <w:ind w:left="720"/>
        <w:rPr>
          <w:rFonts w:ascii="Arial" w:hAnsi="Arial" w:cs="Arial"/>
          <w:bCs/>
          <w:color w:val="auto"/>
          <w:sz w:val="22"/>
          <w:szCs w:val="22"/>
        </w:rPr>
      </w:pPr>
      <w:bookmarkStart w:id="42" w:name="_Hlk69234221"/>
    </w:p>
    <w:p w14:paraId="6DAFF1C4" w14:textId="1B442403" w:rsidR="005230F1" w:rsidRPr="00F36FEB" w:rsidRDefault="00167A80" w:rsidP="00FD015E">
      <w:pPr>
        <w:pStyle w:val="CDGBBODYSTYLE"/>
        <w:spacing w:line="240" w:lineRule="auto"/>
        <w:jc w:val="left"/>
      </w:pPr>
      <w:r w:rsidRPr="009A3478">
        <w:rPr>
          <w:u w:val="single"/>
        </w:rPr>
        <w:t xml:space="preserve">Facilitate </w:t>
      </w:r>
      <w:r w:rsidR="00281CFB" w:rsidRPr="009A3478">
        <w:rPr>
          <w:u w:val="single"/>
        </w:rPr>
        <w:t>S</w:t>
      </w:r>
      <w:r w:rsidRPr="009A3478">
        <w:rPr>
          <w:u w:val="single"/>
        </w:rPr>
        <w:t xml:space="preserve">pecific </w:t>
      </w:r>
      <w:r w:rsidR="00281CFB" w:rsidRPr="009A3478">
        <w:rPr>
          <w:u w:val="single"/>
        </w:rPr>
        <w:t>E</w:t>
      </w:r>
      <w:r w:rsidRPr="009A3478">
        <w:rPr>
          <w:u w:val="single"/>
        </w:rPr>
        <w:t xml:space="preserve">mployment </w:t>
      </w:r>
      <w:r w:rsidR="00281CFB" w:rsidRPr="009A3478">
        <w:rPr>
          <w:u w:val="single"/>
        </w:rPr>
        <w:t>O</w:t>
      </w:r>
      <w:r w:rsidRPr="009A3478">
        <w:rPr>
          <w:u w:val="single"/>
        </w:rPr>
        <w:t>pportunities for Section 3 Workers</w:t>
      </w:r>
    </w:p>
    <w:p w14:paraId="5DF53CE7" w14:textId="47C15CDF" w:rsidR="00167A80" w:rsidRPr="00F36FEB" w:rsidRDefault="00167A80" w:rsidP="00FD015E">
      <w:pPr>
        <w:pStyle w:val="CDGBBODYSTYLE"/>
        <w:spacing w:line="240" w:lineRule="auto"/>
        <w:jc w:val="left"/>
      </w:pPr>
      <w:r w:rsidRPr="00F36FEB">
        <w:t xml:space="preserve">If new employees are needed OR if vacancies exist for work on the TxCDBG-assisted project, the </w:t>
      </w:r>
      <w:bookmarkEnd w:id="42"/>
      <w:r w:rsidRPr="00F36FEB">
        <w:t xml:space="preserve">Grant Recipient and/or contractor must access the following resources to identify potential Section 3 employees—a printout of the results of the portal search in the local files is acceptable documentation of this effort. Grant Recipients and contractors are not required to employ Section 3 workers, nor to modify the qualifications or requirements of the </w:t>
      </w:r>
      <w:r w:rsidR="00F36FEB" w:rsidRPr="00F36FEB">
        <w:t>position but</w:t>
      </w:r>
      <w:r w:rsidRPr="00F36FEB">
        <w:t xml:space="preserve"> must demonstrate an effort to identify potential employees as appropriate, including documentation for any applicants that are Section 3 Workers.  </w:t>
      </w:r>
    </w:p>
    <w:p w14:paraId="2187D182" w14:textId="4D041C87" w:rsidR="00167A80" w:rsidRPr="00F36FEB" w:rsidRDefault="00167A80" w:rsidP="0028218E">
      <w:pPr>
        <w:pStyle w:val="Default"/>
        <w:numPr>
          <w:ilvl w:val="1"/>
          <w:numId w:val="13"/>
        </w:numPr>
        <w:ind w:left="720"/>
        <w:rPr>
          <w:rFonts w:ascii="Arial" w:hAnsi="Arial" w:cs="Arial"/>
          <w:bCs/>
          <w:color w:val="auto"/>
          <w:sz w:val="22"/>
          <w:szCs w:val="22"/>
        </w:rPr>
      </w:pPr>
      <w:r w:rsidRPr="00F36FEB">
        <w:rPr>
          <w:rFonts w:ascii="Arial" w:hAnsi="Arial" w:cs="Arial"/>
          <w:bCs/>
          <w:color w:val="auto"/>
          <w:sz w:val="22"/>
          <w:szCs w:val="22"/>
        </w:rPr>
        <w:t xml:space="preserve">Texas Workforce Solutions </w:t>
      </w:r>
      <w:r w:rsidR="000748A5">
        <w:rPr>
          <w:rFonts w:ascii="Arial" w:hAnsi="Arial" w:cs="Arial"/>
          <w:bCs/>
          <w:color w:val="auto"/>
          <w:sz w:val="22"/>
          <w:szCs w:val="22"/>
        </w:rPr>
        <w:t>–</w:t>
      </w:r>
      <w:r w:rsidRPr="00F36FEB">
        <w:rPr>
          <w:rFonts w:ascii="Arial" w:hAnsi="Arial" w:cs="Arial"/>
          <w:bCs/>
          <w:color w:val="auto"/>
          <w:sz w:val="22"/>
          <w:szCs w:val="22"/>
        </w:rPr>
        <w:t xml:space="preserve"> </w:t>
      </w:r>
      <w:hyperlink r:id="rId20" w:history="1">
        <w:r w:rsidRPr="002865FD">
          <w:rPr>
            <w:rStyle w:val="Hyperlink"/>
            <w:rFonts w:ascii="Arial" w:hAnsi="Arial" w:cs="Arial"/>
            <w:bCs/>
            <w:color w:val="auto"/>
            <w:sz w:val="22"/>
            <w:szCs w:val="22"/>
          </w:rPr>
          <w:t>WorkInTexas.com</w:t>
        </w:r>
      </w:hyperlink>
      <w:r w:rsidRPr="00F36FEB">
        <w:rPr>
          <w:rFonts w:ascii="Arial" w:hAnsi="Arial" w:cs="Arial"/>
          <w:bCs/>
          <w:color w:val="auto"/>
          <w:sz w:val="22"/>
          <w:szCs w:val="22"/>
        </w:rPr>
        <w:t xml:space="preserve">; and </w:t>
      </w:r>
    </w:p>
    <w:p w14:paraId="296E13FF" w14:textId="7BA0697B" w:rsidR="00281CFB" w:rsidRPr="00F36FEB" w:rsidRDefault="00167A80" w:rsidP="0028218E">
      <w:pPr>
        <w:pStyle w:val="Default"/>
        <w:numPr>
          <w:ilvl w:val="1"/>
          <w:numId w:val="13"/>
        </w:numPr>
        <w:ind w:left="720"/>
        <w:rPr>
          <w:rFonts w:ascii="Arial" w:hAnsi="Arial" w:cs="Arial"/>
          <w:bCs/>
          <w:color w:val="auto"/>
          <w:sz w:val="22"/>
          <w:szCs w:val="22"/>
        </w:rPr>
      </w:pPr>
      <w:r w:rsidRPr="00F36FEB">
        <w:rPr>
          <w:rFonts w:ascii="Arial" w:hAnsi="Arial" w:cs="Arial"/>
          <w:bCs/>
          <w:color w:val="auto"/>
          <w:sz w:val="22"/>
          <w:szCs w:val="22"/>
        </w:rPr>
        <w:t xml:space="preserve">Local Workforce Solutions Office (WIOA One Stop Shop), if applicable </w:t>
      </w:r>
      <w:r w:rsidR="000748A5">
        <w:rPr>
          <w:rFonts w:ascii="Arial" w:hAnsi="Arial" w:cs="Arial"/>
          <w:bCs/>
          <w:color w:val="auto"/>
          <w:sz w:val="22"/>
          <w:szCs w:val="22"/>
        </w:rPr>
        <w:t>–</w:t>
      </w:r>
      <w:r w:rsidRPr="00F36FEB">
        <w:rPr>
          <w:rFonts w:ascii="Arial" w:hAnsi="Arial" w:cs="Arial"/>
          <w:bCs/>
          <w:color w:val="auto"/>
          <w:sz w:val="22"/>
          <w:szCs w:val="22"/>
        </w:rPr>
        <w:t xml:space="preserve"> </w:t>
      </w:r>
      <w:hyperlink r:id="rId21" w:history="1">
        <w:r w:rsidRPr="002865FD">
          <w:rPr>
            <w:rStyle w:val="Hyperlink"/>
            <w:rFonts w:ascii="Arial" w:hAnsi="Arial" w:cs="Arial"/>
            <w:bCs/>
            <w:color w:val="auto"/>
            <w:sz w:val="22"/>
            <w:szCs w:val="22"/>
          </w:rPr>
          <w:t>https://www.twc.texas.gov/directory-workforce-solutions-offices-services</w:t>
        </w:r>
      </w:hyperlink>
      <w:r w:rsidRPr="00F36FEB">
        <w:rPr>
          <w:rFonts w:ascii="Arial" w:hAnsi="Arial" w:cs="Arial"/>
          <w:bCs/>
          <w:color w:val="auto"/>
          <w:sz w:val="22"/>
          <w:szCs w:val="22"/>
        </w:rPr>
        <w:t>.</w:t>
      </w:r>
      <w:bookmarkStart w:id="43" w:name="_Hlk69235212"/>
    </w:p>
    <w:p w14:paraId="0547059F" w14:textId="34DC34E6" w:rsidR="00281CFB" w:rsidRPr="002865FD" w:rsidRDefault="00281CFB" w:rsidP="00FD015E">
      <w:pPr>
        <w:pStyle w:val="Default"/>
        <w:ind w:left="1440"/>
        <w:rPr>
          <w:rFonts w:ascii="Arial" w:hAnsi="Arial" w:cs="Arial"/>
          <w:bCs/>
          <w:color w:val="auto"/>
          <w:sz w:val="22"/>
          <w:szCs w:val="22"/>
        </w:rPr>
      </w:pPr>
    </w:p>
    <w:p w14:paraId="26EB930D" w14:textId="4AF2CCE9" w:rsidR="00167A80" w:rsidRPr="00281CFB" w:rsidRDefault="00167A80" w:rsidP="00FD015E">
      <w:pPr>
        <w:pStyle w:val="CDGBBoldArial11"/>
        <w:spacing w:line="240" w:lineRule="auto"/>
      </w:pPr>
      <w:r w:rsidRPr="00AD7B6E">
        <w:rPr>
          <w:b w:val="0"/>
          <w:bCs/>
          <w:u w:val="single"/>
        </w:rPr>
        <w:t xml:space="preserve">Ensure Contractor </w:t>
      </w:r>
      <w:r w:rsidR="00281CFB" w:rsidRPr="00AD7B6E">
        <w:rPr>
          <w:b w:val="0"/>
          <w:bCs/>
          <w:u w:val="single"/>
        </w:rPr>
        <w:t>C</w:t>
      </w:r>
      <w:r w:rsidRPr="00AD7B6E">
        <w:rPr>
          <w:b w:val="0"/>
          <w:bCs/>
          <w:u w:val="single"/>
        </w:rPr>
        <w:t>ompliance</w:t>
      </w:r>
    </w:p>
    <w:p w14:paraId="36750F39" w14:textId="41438DB2" w:rsidR="00167A80" w:rsidRPr="00AB59C6" w:rsidRDefault="00167A80" w:rsidP="0028218E">
      <w:pPr>
        <w:pStyle w:val="Default"/>
        <w:numPr>
          <w:ilvl w:val="1"/>
          <w:numId w:val="14"/>
        </w:numPr>
        <w:ind w:left="720"/>
        <w:rPr>
          <w:rFonts w:ascii="Arial" w:hAnsi="Arial" w:cs="Arial"/>
          <w:bCs/>
          <w:color w:val="auto"/>
          <w:sz w:val="22"/>
          <w:szCs w:val="22"/>
        </w:rPr>
      </w:pPr>
      <w:r w:rsidRPr="00AB59C6">
        <w:rPr>
          <w:rFonts w:ascii="Arial" w:hAnsi="Arial" w:cs="Arial"/>
          <w:bCs/>
          <w:color w:val="auto"/>
          <w:sz w:val="22"/>
          <w:szCs w:val="22"/>
        </w:rPr>
        <w:t>Include the required contract provision in all applicable contracting opportunities. See Appendices D and F.</w:t>
      </w:r>
    </w:p>
    <w:p w14:paraId="43D5CBB5" w14:textId="22B8375E" w:rsidR="00167A80" w:rsidRPr="00AB59C6" w:rsidRDefault="00167A80" w:rsidP="0028218E">
      <w:pPr>
        <w:pStyle w:val="Default"/>
        <w:numPr>
          <w:ilvl w:val="1"/>
          <w:numId w:val="14"/>
        </w:numPr>
        <w:ind w:left="720"/>
        <w:rPr>
          <w:rFonts w:ascii="Arial" w:hAnsi="Arial" w:cs="Arial"/>
          <w:bCs/>
          <w:color w:val="auto"/>
          <w:sz w:val="22"/>
          <w:szCs w:val="22"/>
        </w:rPr>
      </w:pPr>
      <w:r w:rsidRPr="00AB59C6">
        <w:rPr>
          <w:rFonts w:ascii="Arial" w:hAnsi="Arial" w:cs="Arial"/>
          <w:bCs/>
          <w:color w:val="auto"/>
          <w:sz w:val="22"/>
          <w:szCs w:val="22"/>
        </w:rPr>
        <w:t>Collect records for all construction and administration service providers, including subcontractors, documenting the labor hours performed by each employee and the Section 3 status of each employee.  Generally, this consists of payroll records and certification of status for each employee. A summary of this information must be reported to TDA as part of the Project Completion Report</w:t>
      </w:r>
      <w:r w:rsidR="002865FD" w:rsidRPr="00AB59C6">
        <w:rPr>
          <w:rFonts w:ascii="Arial" w:hAnsi="Arial" w:cs="Arial"/>
          <w:bCs/>
          <w:color w:val="auto"/>
          <w:sz w:val="22"/>
          <w:szCs w:val="22"/>
        </w:rPr>
        <w:t xml:space="preserve"> and each Materials and Services Report Contract Completion</w:t>
      </w:r>
      <w:r w:rsidRPr="00AB59C6">
        <w:rPr>
          <w:rFonts w:ascii="Arial" w:hAnsi="Arial" w:cs="Arial"/>
          <w:bCs/>
          <w:color w:val="auto"/>
          <w:sz w:val="22"/>
          <w:szCs w:val="22"/>
        </w:rPr>
        <w:t>, and support documentation must be maintained in the local files</w:t>
      </w:r>
      <w:bookmarkEnd w:id="43"/>
      <w:r w:rsidRPr="00AB59C6">
        <w:rPr>
          <w:rFonts w:ascii="Arial" w:hAnsi="Arial" w:cs="Arial"/>
          <w:bCs/>
          <w:color w:val="auto"/>
          <w:sz w:val="22"/>
          <w:szCs w:val="22"/>
        </w:rPr>
        <w:t>.</w:t>
      </w:r>
    </w:p>
    <w:p w14:paraId="7BF4BBF6" w14:textId="66ADD953" w:rsidR="00167A80" w:rsidRPr="0047291A" w:rsidRDefault="00167A80" w:rsidP="00FD015E">
      <w:pPr>
        <w:pStyle w:val="Default"/>
        <w:ind w:left="720"/>
        <w:rPr>
          <w:rFonts w:ascii="Arial" w:hAnsi="Arial" w:cs="Arial"/>
          <w:bCs/>
          <w:color w:val="auto"/>
          <w:sz w:val="22"/>
          <w:szCs w:val="22"/>
        </w:rPr>
      </w:pPr>
    </w:p>
    <w:p w14:paraId="445DBF21" w14:textId="5D88D4B6" w:rsidR="005230F1" w:rsidRDefault="00167A80" w:rsidP="00FD015E">
      <w:pPr>
        <w:pStyle w:val="Default"/>
        <w:rPr>
          <w:rFonts w:ascii="Arial" w:hAnsi="Arial" w:cs="Arial"/>
          <w:bCs/>
          <w:color w:val="auto"/>
          <w:sz w:val="22"/>
          <w:szCs w:val="22"/>
        </w:rPr>
      </w:pPr>
      <w:r w:rsidRPr="009400BC">
        <w:rPr>
          <w:rFonts w:ascii="Arial" w:hAnsi="Arial" w:cs="Arial"/>
          <w:bCs/>
          <w:color w:val="auto"/>
          <w:sz w:val="22"/>
          <w:szCs w:val="22"/>
          <w:u w:val="single"/>
        </w:rPr>
        <w:t>Additional Efforts</w:t>
      </w:r>
      <w:r w:rsidR="00281CFB">
        <w:rPr>
          <w:rFonts w:ascii="Arial" w:hAnsi="Arial" w:cs="Arial"/>
          <w:bCs/>
          <w:color w:val="auto"/>
          <w:sz w:val="22"/>
          <w:szCs w:val="22"/>
        </w:rPr>
        <w:t xml:space="preserve"> </w:t>
      </w:r>
    </w:p>
    <w:p w14:paraId="76DBCB11" w14:textId="4AA0195D" w:rsidR="00167A80" w:rsidRPr="0093542E" w:rsidRDefault="00167A80" w:rsidP="00FD015E">
      <w:pPr>
        <w:pStyle w:val="Default"/>
        <w:rPr>
          <w:rFonts w:ascii="Arial" w:hAnsi="Arial" w:cs="Arial"/>
          <w:bCs/>
          <w:color w:val="auto"/>
          <w:sz w:val="22"/>
          <w:szCs w:val="22"/>
        </w:rPr>
      </w:pPr>
      <w:r w:rsidRPr="0093542E">
        <w:rPr>
          <w:rFonts w:ascii="Arial" w:hAnsi="Arial" w:cs="Arial"/>
          <w:bCs/>
          <w:color w:val="auto"/>
          <w:sz w:val="22"/>
          <w:szCs w:val="22"/>
        </w:rPr>
        <w:t xml:space="preserve">Record all additional efforts to ensure Section 3 Businesses </w:t>
      </w:r>
      <w:proofErr w:type="gramStart"/>
      <w:r w:rsidRPr="0093542E">
        <w:rPr>
          <w:rFonts w:ascii="Arial" w:hAnsi="Arial" w:cs="Arial"/>
          <w:bCs/>
          <w:color w:val="auto"/>
          <w:sz w:val="22"/>
          <w:szCs w:val="22"/>
        </w:rPr>
        <w:t>have</w:t>
      </w:r>
      <w:r w:rsidR="007E5800">
        <w:rPr>
          <w:rFonts w:ascii="Arial" w:hAnsi="Arial" w:cs="Arial"/>
          <w:bCs/>
          <w:color w:val="auto"/>
          <w:sz w:val="22"/>
          <w:szCs w:val="22"/>
        </w:rPr>
        <w:t xml:space="preserve"> the</w:t>
      </w:r>
      <w:r w:rsidRPr="0093542E">
        <w:rPr>
          <w:rFonts w:ascii="Arial" w:hAnsi="Arial" w:cs="Arial"/>
          <w:bCs/>
          <w:color w:val="auto"/>
          <w:sz w:val="22"/>
          <w:szCs w:val="22"/>
        </w:rPr>
        <w:t xml:space="preserve"> opportunity to</w:t>
      </w:r>
      <w:proofErr w:type="gramEnd"/>
      <w:r w:rsidRPr="0093542E">
        <w:rPr>
          <w:rFonts w:ascii="Arial" w:hAnsi="Arial" w:cs="Arial"/>
          <w:bCs/>
          <w:color w:val="auto"/>
          <w:sz w:val="22"/>
          <w:szCs w:val="22"/>
        </w:rPr>
        <w:t xml:space="preserve"> compete for contracting opportunities, and that Section 3 Workers and Targeted Section 3 Workers have the opportunity to benefit from the TxCDBG assistance. These efforts support the state’s explanation, should the program not meet the established benchmarks, and identify areas where the TxCDBG program could support Section 3 Business and Workers in the future. Examples include</w:t>
      </w:r>
      <w:r w:rsidR="00B37D38">
        <w:rPr>
          <w:rFonts w:ascii="Arial" w:hAnsi="Arial" w:cs="Arial"/>
          <w:bCs/>
          <w:color w:val="auto"/>
          <w:sz w:val="22"/>
          <w:szCs w:val="22"/>
        </w:rPr>
        <w:t>:</w:t>
      </w:r>
    </w:p>
    <w:p w14:paraId="690A515F" w14:textId="0B04E0DF" w:rsidR="00167A80" w:rsidRPr="0093542E" w:rsidRDefault="00B37D38" w:rsidP="0028218E">
      <w:pPr>
        <w:pStyle w:val="ListParagraph"/>
        <w:numPr>
          <w:ilvl w:val="1"/>
          <w:numId w:val="15"/>
        </w:numPr>
        <w:spacing w:after="160"/>
        <w:ind w:left="720"/>
        <w:rPr>
          <w:rFonts w:cs="Arial"/>
          <w:bCs/>
          <w:szCs w:val="22"/>
        </w:rPr>
      </w:pPr>
      <w:r>
        <w:rPr>
          <w:rFonts w:cs="Arial"/>
          <w:bCs/>
          <w:szCs w:val="22"/>
        </w:rPr>
        <w:t>O</w:t>
      </w:r>
      <w:r w:rsidR="00167A80" w:rsidRPr="0093542E">
        <w:rPr>
          <w:rFonts w:cs="Arial"/>
          <w:bCs/>
          <w:szCs w:val="22"/>
        </w:rPr>
        <w:t>utreach efforts</w:t>
      </w:r>
    </w:p>
    <w:p w14:paraId="4BE08FA3" w14:textId="6945078E" w:rsidR="00167A80" w:rsidRPr="0093542E" w:rsidRDefault="00B37D38" w:rsidP="0028218E">
      <w:pPr>
        <w:pStyle w:val="ListParagraph"/>
        <w:numPr>
          <w:ilvl w:val="1"/>
          <w:numId w:val="15"/>
        </w:numPr>
        <w:spacing w:after="160"/>
        <w:ind w:left="720"/>
        <w:rPr>
          <w:rFonts w:cs="Arial"/>
          <w:bCs/>
          <w:szCs w:val="22"/>
        </w:rPr>
      </w:pPr>
      <w:r>
        <w:rPr>
          <w:rFonts w:cs="Arial"/>
          <w:bCs/>
          <w:szCs w:val="22"/>
        </w:rPr>
        <w:t>T</w:t>
      </w:r>
      <w:r w:rsidR="00167A80" w:rsidRPr="0093542E">
        <w:rPr>
          <w:rFonts w:cs="Arial"/>
          <w:bCs/>
          <w:szCs w:val="22"/>
        </w:rPr>
        <w:t>raining or apprenticeship opportunities</w:t>
      </w:r>
    </w:p>
    <w:p w14:paraId="00F35029" w14:textId="33155842" w:rsidR="00167A80" w:rsidRPr="0093542E" w:rsidRDefault="00B37D38" w:rsidP="0028218E">
      <w:pPr>
        <w:pStyle w:val="ListParagraph"/>
        <w:numPr>
          <w:ilvl w:val="1"/>
          <w:numId w:val="15"/>
        </w:numPr>
        <w:spacing w:after="160"/>
        <w:ind w:left="720"/>
        <w:rPr>
          <w:rFonts w:cs="Arial"/>
          <w:bCs/>
          <w:szCs w:val="22"/>
        </w:rPr>
      </w:pPr>
      <w:r>
        <w:rPr>
          <w:rFonts w:cs="Arial"/>
          <w:bCs/>
          <w:szCs w:val="22"/>
        </w:rPr>
        <w:t>T</w:t>
      </w:r>
      <w:r w:rsidR="00167A80" w:rsidRPr="0093542E">
        <w:rPr>
          <w:rFonts w:cs="Arial"/>
          <w:bCs/>
          <w:szCs w:val="22"/>
        </w:rPr>
        <w:t xml:space="preserve">echnical assistance to Section 3 </w:t>
      </w:r>
      <w:r w:rsidR="00281CFB">
        <w:rPr>
          <w:rFonts w:cs="Arial"/>
          <w:bCs/>
          <w:szCs w:val="22"/>
        </w:rPr>
        <w:t>w</w:t>
      </w:r>
      <w:r w:rsidR="00167A80" w:rsidRPr="0093542E">
        <w:rPr>
          <w:rFonts w:cs="Arial"/>
          <w:bCs/>
          <w:szCs w:val="22"/>
        </w:rPr>
        <w:t>orkers (multiple types)</w:t>
      </w:r>
    </w:p>
    <w:p w14:paraId="1156F69C" w14:textId="54E79A64" w:rsidR="00167A80" w:rsidRPr="0093542E" w:rsidRDefault="00B37D38" w:rsidP="0028218E">
      <w:pPr>
        <w:pStyle w:val="ListParagraph"/>
        <w:numPr>
          <w:ilvl w:val="1"/>
          <w:numId w:val="15"/>
        </w:numPr>
        <w:spacing w:after="160"/>
        <w:ind w:left="720"/>
        <w:rPr>
          <w:rFonts w:cs="Arial"/>
          <w:bCs/>
          <w:szCs w:val="22"/>
        </w:rPr>
      </w:pPr>
      <w:r>
        <w:rPr>
          <w:rFonts w:cs="Arial"/>
          <w:bCs/>
          <w:szCs w:val="22"/>
        </w:rPr>
        <w:t>T</w:t>
      </w:r>
      <w:r w:rsidR="00167A80" w:rsidRPr="0093542E">
        <w:rPr>
          <w:rFonts w:cs="Arial"/>
          <w:bCs/>
          <w:szCs w:val="22"/>
        </w:rPr>
        <w:t xml:space="preserve">echnical assistance to Section 3 </w:t>
      </w:r>
      <w:r w:rsidR="00281CFB">
        <w:rPr>
          <w:rFonts w:cs="Arial"/>
          <w:bCs/>
          <w:szCs w:val="22"/>
        </w:rPr>
        <w:t>b</w:t>
      </w:r>
      <w:r w:rsidR="00167A80" w:rsidRPr="0093542E">
        <w:rPr>
          <w:rFonts w:cs="Arial"/>
          <w:bCs/>
          <w:szCs w:val="22"/>
        </w:rPr>
        <w:t>usiness concerns</w:t>
      </w:r>
    </w:p>
    <w:p w14:paraId="503F7D9D" w14:textId="541AD3EE" w:rsidR="00167A80" w:rsidRPr="0093542E" w:rsidRDefault="00B37D38" w:rsidP="0028218E">
      <w:pPr>
        <w:pStyle w:val="ListParagraph"/>
        <w:numPr>
          <w:ilvl w:val="1"/>
          <w:numId w:val="15"/>
        </w:numPr>
        <w:spacing w:after="160"/>
        <w:ind w:left="720"/>
        <w:rPr>
          <w:rFonts w:cs="Arial"/>
          <w:bCs/>
          <w:szCs w:val="22"/>
        </w:rPr>
      </w:pPr>
      <w:r>
        <w:rPr>
          <w:rFonts w:cs="Arial"/>
          <w:bCs/>
          <w:szCs w:val="22"/>
        </w:rPr>
        <w:t>J</w:t>
      </w:r>
      <w:r w:rsidR="00167A80" w:rsidRPr="0093542E">
        <w:rPr>
          <w:rFonts w:cs="Arial"/>
          <w:bCs/>
          <w:szCs w:val="22"/>
        </w:rPr>
        <w:t>ob fairs</w:t>
      </w:r>
    </w:p>
    <w:p w14:paraId="2EC2C531" w14:textId="292A3EBF" w:rsidR="00167A80" w:rsidRPr="0093542E" w:rsidRDefault="00B37D38" w:rsidP="0028218E">
      <w:pPr>
        <w:pStyle w:val="ListParagraph"/>
        <w:numPr>
          <w:ilvl w:val="1"/>
          <w:numId w:val="15"/>
        </w:numPr>
        <w:spacing w:after="160"/>
        <w:ind w:left="720"/>
        <w:rPr>
          <w:rFonts w:cs="Arial"/>
          <w:bCs/>
          <w:szCs w:val="22"/>
        </w:rPr>
      </w:pPr>
      <w:r>
        <w:rPr>
          <w:rFonts w:cs="Arial"/>
          <w:bCs/>
          <w:szCs w:val="22"/>
        </w:rPr>
        <w:t>D</w:t>
      </w:r>
      <w:r w:rsidR="00167A80" w:rsidRPr="0093542E">
        <w:rPr>
          <w:rFonts w:cs="Arial"/>
          <w:bCs/>
          <w:szCs w:val="22"/>
        </w:rPr>
        <w:t>ivide contracts into smaller jobs</w:t>
      </w:r>
    </w:p>
    <w:p w14:paraId="0113C02C" w14:textId="74E76677" w:rsidR="00167A80" w:rsidRPr="0093542E" w:rsidRDefault="00B37D38" w:rsidP="0028218E">
      <w:pPr>
        <w:pStyle w:val="ListParagraph"/>
        <w:numPr>
          <w:ilvl w:val="1"/>
          <w:numId w:val="15"/>
        </w:numPr>
        <w:spacing w:after="160"/>
        <w:ind w:left="720"/>
        <w:rPr>
          <w:rFonts w:cs="Arial"/>
          <w:bCs/>
          <w:szCs w:val="22"/>
        </w:rPr>
      </w:pPr>
      <w:r>
        <w:rPr>
          <w:rFonts w:cs="Arial"/>
          <w:bCs/>
          <w:szCs w:val="22"/>
        </w:rPr>
        <w:t>B</w:t>
      </w:r>
      <w:r w:rsidR="00167A80" w:rsidRPr="0093542E">
        <w:rPr>
          <w:rFonts w:cs="Arial"/>
          <w:bCs/>
          <w:szCs w:val="22"/>
        </w:rPr>
        <w:t>onding assistance</w:t>
      </w:r>
    </w:p>
    <w:p w14:paraId="6DC00384" w14:textId="63D7A222" w:rsidR="00167A80" w:rsidRPr="0093542E" w:rsidRDefault="00B37D38" w:rsidP="0028218E">
      <w:pPr>
        <w:pStyle w:val="ListParagraph"/>
        <w:numPr>
          <w:ilvl w:val="1"/>
          <w:numId w:val="15"/>
        </w:numPr>
        <w:spacing w:after="160"/>
        <w:ind w:left="720"/>
        <w:rPr>
          <w:rFonts w:cs="Arial"/>
          <w:bCs/>
          <w:szCs w:val="22"/>
        </w:rPr>
      </w:pPr>
      <w:r>
        <w:rPr>
          <w:rFonts w:cs="Arial"/>
          <w:bCs/>
          <w:szCs w:val="22"/>
        </w:rPr>
        <w:t>O</w:t>
      </w:r>
      <w:r w:rsidR="00167A80" w:rsidRPr="0093542E">
        <w:rPr>
          <w:rFonts w:cs="Arial"/>
          <w:bCs/>
          <w:szCs w:val="22"/>
        </w:rPr>
        <w:t xml:space="preserve">ther </w:t>
      </w:r>
      <w:r w:rsidR="00281CFB">
        <w:rPr>
          <w:rFonts w:cs="Arial"/>
          <w:bCs/>
          <w:szCs w:val="22"/>
        </w:rPr>
        <w:t>b</w:t>
      </w:r>
      <w:r w:rsidR="00167A80" w:rsidRPr="0093542E">
        <w:rPr>
          <w:rFonts w:cs="Arial"/>
          <w:bCs/>
          <w:szCs w:val="22"/>
        </w:rPr>
        <w:t>usiness registries</w:t>
      </w:r>
      <w:bookmarkEnd w:id="39"/>
    </w:p>
    <w:bookmarkEnd w:id="40"/>
    <w:p w14:paraId="7A53CD3F" w14:textId="5D9257ED" w:rsidR="00167A80" w:rsidRPr="0093542E" w:rsidRDefault="00167A80" w:rsidP="00FD015E">
      <w:pPr>
        <w:rPr>
          <w:rFonts w:eastAsiaTheme="minorHAnsi"/>
        </w:rPr>
      </w:pPr>
    </w:p>
    <w:p w14:paraId="024CAAC2" w14:textId="133D1642" w:rsidR="00792CE7" w:rsidRPr="00536C6E" w:rsidRDefault="00167A80" w:rsidP="00FD015E">
      <w:pPr>
        <w:autoSpaceDE w:val="0"/>
        <w:autoSpaceDN w:val="0"/>
        <w:adjustRightInd w:val="0"/>
        <w:rPr>
          <w:rFonts w:eastAsiaTheme="minorHAnsi" w:cs="Arial"/>
          <w:b/>
          <w:bCs/>
          <w:color w:val="000000"/>
          <w:szCs w:val="22"/>
        </w:rPr>
      </w:pPr>
      <w:r w:rsidRPr="00536C6E">
        <w:rPr>
          <w:rFonts w:eastAsiaTheme="minorHAnsi" w:cs="Arial"/>
          <w:b/>
          <w:bCs/>
          <w:color w:val="000000"/>
          <w:szCs w:val="22"/>
        </w:rPr>
        <w:t>Key Definitions</w:t>
      </w:r>
    </w:p>
    <w:p w14:paraId="60EEBF50" w14:textId="2A4D7A8C" w:rsidR="00167A80" w:rsidRDefault="00167A80" w:rsidP="00FD015E">
      <w:pPr>
        <w:pStyle w:val="CDGBBODYSTYLE"/>
        <w:spacing w:line="240" w:lineRule="auto"/>
        <w:jc w:val="left"/>
        <w:rPr>
          <w:rFonts w:eastAsiaTheme="minorHAnsi"/>
        </w:rPr>
      </w:pPr>
      <w:proofErr w:type="gramStart"/>
      <w:r w:rsidRPr="0093542E">
        <w:rPr>
          <w:rFonts w:eastAsiaTheme="minorHAnsi"/>
        </w:rPr>
        <w:t>I</w:t>
      </w:r>
      <w:r w:rsidR="00792CE7">
        <w:rPr>
          <w:rFonts w:eastAsiaTheme="minorHAnsi"/>
        </w:rPr>
        <w:t>n</w:t>
      </w:r>
      <w:r w:rsidRPr="0093542E">
        <w:rPr>
          <w:rFonts w:eastAsiaTheme="minorHAnsi"/>
        </w:rPr>
        <w:t xml:space="preserve"> order to</w:t>
      </w:r>
      <w:proofErr w:type="gramEnd"/>
      <w:r w:rsidRPr="0093542E">
        <w:rPr>
          <w:rFonts w:eastAsiaTheme="minorHAnsi"/>
        </w:rPr>
        <w:t xml:space="preserve"> meet the Section 3 reporting requirements, all workers for the project must be classified as one of three worker categories</w:t>
      </w:r>
      <w:r w:rsidR="00281CFB">
        <w:rPr>
          <w:rFonts w:eastAsiaTheme="minorHAnsi"/>
        </w:rPr>
        <w:t>. R</w:t>
      </w:r>
      <w:r w:rsidRPr="0093542E">
        <w:rPr>
          <w:rFonts w:eastAsiaTheme="minorHAnsi"/>
        </w:rPr>
        <w:t>eport the most restrictive category that is appropriate for an individual worker</w:t>
      </w:r>
      <w:r w:rsidR="00370FF2">
        <w:rPr>
          <w:rFonts w:eastAsiaTheme="minorHAnsi"/>
        </w:rPr>
        <w:t>:</w:t>
      </w:r>
    </w:p>
    <w:p w14:paraId="528C84F3" w14:textId="77777777" w:rsidR="00EE50DF" w:rsidRDefault="00EE50DF" w:rsidP="00FD015E">
      <w:pPr>
        <w:pStyle w:val="CDGBBODYSTYLE"/>
        <w:spacing w:line="240" w:lineRule="auto"/>
        <w:jc w:val="left"/>
        <w:rPr>
          <w:rFonts w:eastAsiaTheme="minorHAnsi"/>
          <w:b/>
          <w:bCs/>
          <w:u w:val="single"/>
        </w:rPr>
      </w:pPr>
    </w:p>
    <w:p w14:paraId="108FD5AF" w14:textId="623F0CC1" w:rsidR="00EE50DF" w:rsidRPr="00AD7B6E" w:rsidRDefault="00EE50DF" w:rsidP="009400BC">
      <w:pPr>
        <w:spacing w:after="160"/>
        <w:rPr>
          <w:rFonts w:cs="Arial"/>
          <w:bCs/>
          <w:szCs w:val="22"/>
        </w:rPr>
      </w:pPr>
      <w:r w:rsidRPr="009400BC">
        <w:rPr>
          <w:rFonts w:eastAsiaTheme="minorHAnsi" w:cs="Arial"/>
          <w:color w:val="000000"/>
          <w:szCs w:val="22"/>
          <w:u w:val="single"/>
        </w:rPr>
        <w:t>Criteria for All Worker Designation</w:t>
      </w:r>
      <w:r w:rsidRPr="009400BC">
        <w:rPr>
          <w:rFonts w:eastAsiaTheme="minorHAnsi" w:cs="Arial"/>
          <w:b/>
          <w:bCs/>
          <w:color w:val="000000"/>
          <w:szCs w:val="22"/>
        </w:rPr>
        <w:t xml:space="preserve">. </w:t>
      </w:r>
      <w:r w:rsidRPr="009400BC">
        <w:rPr>
          <w:rFonts w:eastAsiaTheme="minorHAnsi" w:cs="Arial"/>
          <w:color w:val="000000"/>
          <w:szCs w:val="22"/>
        </w:rPr>
        <w:t xml:space="preserve">All individuals performing applicable work (labor hours) for the TxCDBG-funded project that do not meet one of the Section 3 designations are reported only under the </w:t>
      </w:r>
      <w:proofErr w:type="gramStart"/>
      <w:r w:rsidRPr="009400BC">
        <w:rPr>
          <w:rFonts w:eastAsiaTheme="minorHAnsi" w:cs="Arial"/>
          <w:color w:val="000000"/>
          <w:szCs w:val="22"/>
        </w:rPr>
        <w:t>All Workers</w:t>
      </w:r>
      <w:proofErr w:type="gramEnd"/>
      <w:r w:rsidRPr="009400BC">
        <w:rPr>
          <w:rFonts w:eastAsiaTheme="minorHAnsi" w:cs="Arial"/>
          <w:color w:val="000000"/>
          <w:szCs w:val="22"/>
        </w:rPr>
        <w:t xml:space="preserve"> category</w:t>
      </w:r>
    </w:p>
    <w:p w14:paraId="6356DAE9" w14:textId="288CEF4F" w:rsidR="00004707" w:rsidRPr="00AD7B6E" w:rsidRDefault="00004707" w:rsidP="009400BC">
      <w:pPr>
        <w:spacing w:after="160"/>
        <w:rPr>
          <w:rFonts w:cs="Arial"/>
          <w:bCs/>
          <w:szCs w:val="22"/>
        </w:rPr>
      </w:pPr>
      <w:r w:rsidRPr="009400BC">
        <w:rPr>
          <w:rFonts w:eastAsiaTheme="minorHAnsi" w:cs="Arial"/>
          <w:color w:val="000000"/>
          <w:szCs w:val="22"/>
          <w:u w:val="single"/>
        </w:rPr>
        <w:t>Criteria for Section 3 Worker Designation</w:t>
      </w:r>
      <w:r w:rsidRPr="00AD7B6E">
        <w:rPr>
          <w:rFonts w:eastAsiaTheme="minorHAnsi" w:cs="Arial"/>
          <w:b/>
          <w:bCs/>
          <w:color w:val="000000"/>
          <w:szCs w:val="22"/>
        </w:rPr>
        <w:t xml:space="preserve">. </w:t>
      </w:r>
      <w:r w:rsidRPr="00AD7B6E">
        <w:rPr>
          <w:rFonts w:cs="Arial"/>
          <w:bCs/>
          <w:szCs w:val="22"/>
        </w:rPr>
        <w:t xml:space="preserve">To comply with Section 3 Reporting requirements, the Grant Recipient must determine whether </w:t>
      </w:r>
      <w:proofErr w:type="gramStart"/>
      <w:r w:rsidRPr="00AD7B6E">
        <w:rPr>
          <w:rFonts w:cs="Arial"/>
          <w:bCs/>
          <w:szCs w:val="22"/>
        </w:rPr>
        <w:t>each individual</w:t>
      </w:r>
      <w:proofErr w:type="gramEnd"/>
      <w:r w:rsidRPr="00AD7B6E">
        <w:rPr>
          <w:rFonts w:cs="Arial"/>
          <w:bCs/>
          <w:szCs w:val="22"/>
        </w:rPr>
        <w:t xml:space="preserve"> performing construction or administrative work on the project meets the criteria for a Section 3 Worker.  A Section 3 Worker is any worker who currently, or when hired by the current employer within the past five years, fits at least one of the following categories:</w:t>
      </w:r>
    </w:p>
    <w:p w14:paraId="4D24D87D" w14:textId="4E887668" w:rsidR="00167A80" w:rsidRPr="00281CFB" w:rsidRDefault="00167A80" w:rsidP="00FD015E">
      <w:pPr>
        <w:autoSpaceDE w:val="0"/>
        <w:autoSpaceDN w:val="0"/>
        <w:adjustRightInd w:val="0"/>
        <w:rPr>
          <w:rFonts w:eastAsiaTheme="minorHAnsi" w:cs="Arial"/>
          <w:b/>
          <w:bCs/>
          <w:color w:val="000000"/>
          <w:szCs w:val="22"/>
        </w:rPr>
      </w:pPr>
    </w:p>
    <w:p w14:paraId="19921D23" w14:textId="7CA863E8" w:rsidR="00167A80" w:rsidRPr="00792CE7" w:rsidRDefault="00167A80" w:rsidP="00FD015E">
      <w:pPr>
        <w:autoSpaceDE w:val="0"/>
        <w:autoSpaceDN w:val="0"/>
        <w:adjustRightInd w:val="0"/>
        <w:rPr>
          <w:rFonts w:cs="Arial"/>
          <w:bCs/>
          <w:szCs w:val="22"/>
        </w:rPr>
      </w:pPr>
    </w:p>
    <w:p w14:paraId="15748682" w14:textId="5A76970D" w:rsidR="00167A80" w:rsidRPr="00792CE7" w:rsidRDefault="002865FD" w:rsidP="0028218E">
      <w:pPr>
        <w:pStyle w:val="CDGBBullets-1stindent"/>
        <w:numPr>
          <w:ilvl w:val="0"/>
          <w:numId w:val="28"/>
        </w:numPr>
      </w:pPr>
      <w:r>
        <w:rPr>
          <w:noProof/>
        </w:rPr>
        <w:drawing>
          <wp:anchor distT="0" distB="0" distL="114300" distR="114300" simplePos="0" relativeHeight="251667456" behindDoc="1" locked="0" layoutInCell="1" allowOverlap="1" wp14:anchorId="038CB1B0" wp14:editId="4268326C">
            <wp:simplePos x="0" y="0"/>
            <wp:positionH relativeFrom="margin">
              <wp:align>left</wp:align>
            </wp:positionH>
            <wp:positionV relativeFrom="paragraph">
              <wp:posOffset>9525</wp:posOffset>
            </wp:positionV>
            <wp:extent cx="2486025" cy="2400300"/>
            <wp:effectExtent l="0" t="0" r="9525" b="0"/>
            <wp:wrapTight wrapText="bothSides">
              <wp:wrapPolygon edited="0">
                <wp:start x="0" y="0"/>
                <wp:lineTo x="0" y="21429"/>
                <wp:lineTo x="21517" y="21429"/>
                <wp:lineTo x="21517" y="0"/>
                <wp:lineTo x="0" y="0"/>
              </wp:wrapPolygon>
            </wp:wrapTight>
            <wp:docPr id="8" name="Picture 8"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venn diagram&#10;&#10;Description automatically generated"/>
                    <pic:cNvPicPr/>
                  </pic:nvPicPr>
                  <pic:blipFill rotWithShape="1">
                    <a:blip r:embed="rId22">
                      <a:extLst>
                        <a:ext uri="{28A0092B-C50C-407E-A947-70E740481C1C}">
                          <a14:useLocalDpi xmlns:a14="http://schemas.microsoft.com/office/drawing/2010/main" val="0"/>
                        </a:ext>
                      </a:extLst>
                    </a:blip>
                    <a:srcRect l="7044" r="9392"/>
                    <a:stretch/>
                  </pic:blipFill>
                  <pic:spPr bwMode="auto">
                    <a:xfrm>
                      <a:off x="0" y="0"/>
                      <a:ext cx="248602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A80" w:rsidRPr="00792CE7">
        <w:t xml:space="preserve">The worker’s individual income for the previous or annualized calendar year is below the income limit for a family size of </w:t>
      </w:r>
      <w:r w:rsidR="00167A80" w:rsidRPr="00792CE7">
        <w:rPr>
          <w:b/>
        </w:rPr>
        <w:t xml:space="preserve">one </w:t>
      </w:r>
      <w:r w:rsidR="00167A80" w:rsidRPr="00792CE7">
        <w:t>published on TDA’s website for use in income surveys</w:t>
      </w:r>
      <w:r w:rsidR="0028218E">
        <w:rPr>
          <w:rStyle w:val="FootnoteReference"/>
        </w:rPr>
        <w:footnoteReference w:id="17"/>
      </w:r>
      <w:r w:rsidR="00167A80" w:rsidRPr="00792CE7">
        <w:t>. Income limits are based on the county in which the employee resides.  NOTE: information regarding family size or income from other family members is not required.</w:t>
      </w:r>
    </w:p>
    <w:p w14:paraId="3258E4F2" w14:textId="68A37193" w:rsidR="00167A80" w:rsidRPr="00792CE7" w:rsidRDefault="00167A80" w:rsidP="0028218E">
      <w:pPr>
        <w:pStyle w:val="CDGBBullets-1stindent"/>
        <w:numPr>
          <w:ilvl w:val="1"/>
          <w:numId w:val="29"/>
        </w:numPr>
        <w:spacing w:line="240" w:lineRule="auto"/>
      </w:pPr>
      <w:r w:rsidRPr="00792CE7">
        <w:t>The worker is employed by a Section 3 business.</w:t>
      </w:r>
    </w:p>
    <w:p w14:paraId="1753E8D7" w14:textId="77777777" w:rsidR="00167A80" w:rsidRPr="00792CE7" w:rsidRDefault="00167A80" w:rsidP="0028218E">
      <w:pPr>
        <w:pStyle w:val="CDGBBullets-1stindent"/>
        <w:numPr>
          <w:ilvl w:val="1"/>
          <w:numId w:val="29"/>
        </w:numPr>
        <w:spacing w:line="240" w:lineRule="auto"/>
      </w:pPr>
      <w:r w:rsidRPr="00792CE7">
        <w:t xml:space="preserve">The worker is a </w:t>
      </w:r>
      <w:proofErr w:type="spellStart"/>
      <w:r w:rsidRPr="00792CE7">
        <w:t>YouthBuild</w:t>
      </w:r>
      <w:proofErr w:type="spellEnd"/>
      <w:r w:rsidRPr="00792CE7">
        <w:t xml:space="preserve"> participant.</w:t>
      </w:r>
    </w:p>
    <w:p w14:paraId="09183A2E" w14:textId="77777777" w:rsidR="00167A80" w:rsidRPr="0093542E" w:rsidRDefault="00167A80" w:rsidP="00FD015E">
      <w:pPr>
        <w:autoSpaceDE w:val="0"/>
        <w:autoSpaceDN w:val="0"/>
        <w:adjustRightInd w:val="0"/>
        <w:ind w:hanging="1080"/>
        <w:rPr>
          <w:rFonts w:eastAsiaTheme="minorHAnsi" w:cs="Arial"/>
          <w:color w:val="000000"/>
          <w:szCs w:val="22"/>
        </w:rPr>
      </w:pPr>
    </w:p>
    <w:p w14:paraId="017CA16D" w14:textId="54101F68" w:rsidR="00167A80" w:rsidRPr="00BA651B" w:rsidRDefault="00167A80" w:rsidP="00BA651B">
      <w:pPr>
        <w:pStyle w:val="ListParagraph"/>
        <w:autoSpaceDE w:val="0"/>
        <w:autoSpaceDN w:val="0"/>
        <w:adjustRightInd w:val="0"/>
        <w:rPr>
          <w:rFonts w:cs="Arial"/>
          <w:bCs/>
          <w:szCs w:val="22"/>
        </w:rPr>
      </w:pPr>
      <w:r w:rsidRPr="00BA651B">
        <w:rPr>
          <w:rFonts w:cs="Arial"/>
          <w:bCs/>
          <w:szCs w:val="22"/>
        </w:rPr>
        <w:t xml:space="preserve">Each Section 3 </w:t>
      </w:r>
      <w:r w:rsidR="002A6333" w:rsidRPr="00BA651B">
        <w:rPr>
          <w:rFonts w:cs="Arial"/>
          <w:bCs/>
          <w:szCs w:val="22"/>
        </w:rPr>
        <w:t>w</w:t>
      </w:r>
      <w:r w:rsidRPr="00BA651B">
        <w:rPr>
          <w:rFonts w:cs="Arial"/>
          <w:bCs/>
          <w:szCs w:val="22"/>
        </w:rPr>
        <w:t>orker’s status must be documented with one of the following:</w:t>
      </w:r>
    </w:p>
    <w:p w14:paraId="2549743E" w14:textId="2CFF4460" w:rsidR="00167A80" w:rsidRPr="0093542E" w:rsidRDefault="00167A80" w:rsidP="0028218E">
      <w:pPr>
        <w:numPr>
          <w:ilvl w:val="5"/>
          <w:numId w:val="28"/>
        </w:numPr>
        <w:autoSpaceDE w:val="0"/>
        <w:autoSpaceDN w:val="0"/>
        <w:adjustRightInd w:val="0"/>
        <w:rPr>
          <w:rFonts w:eastAsiaTheme="minorHAnsi" w:cs="Arial"/>
          <w:color w:val="000000"/>
          <w:szCs w:val="22"/>
        </w:rPr>
      </w:pPr>
      <w:r w:rsidRPr="0093542E">
        <w:rPr>
          <w:rFonts w:eastAsiaTheme="minorHAnsi" w:cs="Arial"/>
          <w:color w:val="000000"/>
          <w:szCs w:val="22"/>
        </w:rPr>
        <w:t xml:space="preserve">A worker’s self-certification that their income </w:t>
      </w:r>
      <w:r w:rsidR="00F55A17">
        <w:rPr>
          <w:rFonts w:eastAsiaTheme="minorHAnsi" w:cs="Arial"/>
          <w:color w:val="000000"/>
          <w:szCs w:val="22"/>
        </w:rPr>
        <w:t>s</w:t>
      </w:r>
      <w:r w:rsidR="00F55A17" w:rsidRPr="00F55A17">
        <w:rPr>
          <w:rFonts w:eastAsiaTheme="minorHAnsi" w:cs="Arial"/>
          <w:color w:val="000000"/>
          <w:szCs w:val="22"/>
        </w:rPr>
        <w:t>hould be less than or equal to the HUD limit</w:t>
      </w:r>
      <w:r w:rsidRPr="0093542E">
        <w:rPr>
          <w:rFonts w:eastAsiaTheme="minorHAnsi" w:cs="Arial"/>
          <w:color w:val="000000"/>
          <w:szCs w:val="22"/>
        </w:rPr>
        <w:t xml:space="preserve"> using the TxCDBG Income Survey Questionnaire, clearly marked in the </w:t>
      </w:r>
      <w:r w:rsidRPr="0093542E">
        <w:rPr>
          <w:rFonts w:eastAsiaTheme="minorHAnsi" w:cs="Arial"/>
          <w:b/>
          <w:bCs/>
          <w:color w:val="000000"/>
          <w:szCs w:val="22"/>
        </w:rPr>
        <w:t>place</w:t>
      </w:r>
      <w:r w:rsidRPr="0093542E">
        <w:rPr>
          <w:rFonts w:eastAsiaTheme="minorHAnsi" w:cs="Arial"/>
          <w:color w:val="000000"/>
          <w:szCs w:val="22"/>
        </w:rPr>
        <w:t xml:space="preserve"> </w:t>
      </w:r>
      <w:r w:rsidRPr="0093542E">
        <w:rPr>
          <w:rFonts w:eastAsiaTheme="minorHAnsi" w:cs="Arial"/>
          <w:b/>
          <w:bCs/>
          <w:color w:val="000000"/>
          <w:szCs w:val="22"/>
        </w:rPr>
        <w:t>field</w:t>
      </w:r>
      <w:r w:rsidRPr="0093542E">
        <w:rPr>
          <w:rFonts w:eastAsiaTheme="minorHAnsi" w:cs="Arial"/>
          <w:color w:val="000000"/>
          <w:szCs w:val="22"/>
        </w:rPr>
        <w:t xml:space="preserve"> as “Section 3 Income Only</w:t>
      </w:r>
      <w:proofErr w:type="gramStart"/>
      <w:r w:rsidRPr="0093542E">
        <w:rPr>
          <w:rFonts w:eastAsiaTheme="minorHAnsi" w:cs="Arial"/>
          <w:color w:val="000000"/>
          <w:szCs w:val="22"/>
        </w:rPr>
        <w:t>”;</w:t>
      </w:r>
      <w:proofErr w:type="gramEnd"/>
      <w:r w:rsidRPr="0093542E">
        <w:rPr>
          <w:rFonts w:eastAsiaTheme="minorHAnsi" w:cs="Arial"/>
          <w:color w:val="000000"/>
          <w:szCs w:val="22"/>
        </w:rPr>
        <w:t xml:space="preserve"> </w:t>
      </w:r>
    </w:p>
    <w:p w14:paraId="0DFD375C" w14:textId="77777777" w:rsidR="00167A80" w:rsidRPr="0093542E" w:rsidRDefault="00167A80" w:rsidP="0028218E">
      <w:pPr>
        <w:numPr>
          <w:ilvl w:val="0"/>
          <w:numId w:val="30"/>
        </w:numPr>
        <w:autoSpaceDE w:val="0"/>
        <w:autoSpaceDN w:val="0"/>
        <w:adjustRightInd w:val="0"/>
        <w:ind w:left="720"/>
        <w:rPr>
          <w:rFonts w:eastAsiaTheme="minorHAnsi" w:cs="Arial"/>
          <w:color w:val="000000"/>
          <w:szCs w:val="22"/>
        </w:rPr>
      </w:pPr>
      <w:r w:rsidRPr="0093542E">
        <w:rPr>
          <w:rFonts w:eastAsiaTheme="minorHAnsi" w:cs="Arial"/>
          <w:color w:val="000000"/>
          <w:szCs w:val="22"/>
        </w:rPr>
        <w:t xml:space="preserve">A worker’s self-certification of participation in a means-tested program such as public housing or Section 8-assisted </w:t>
      </w:r>
      <w:proofErr w:type="gramStart"/>
      <w:r w:rsidRPr="0093542E">
        <w:rPr>
          <w:rFonts w:eastAsiaTheme="minorHAnsi" w:cs="Arial"/>
          <w:color w:val="000000"/>
          <w:szCs w:val="22"/>
        </w:rPr>
        <w:t>housing;</w:t>
      </w:r>
      <w:proofErr w:type="gramEnd"/>
      <w:r w:rsidRPr="0093542E">
        <w:rPr>
          <w:rFonts w:eastAsiaTheme="minorHAnsi" w:cs="Arial"/>
          <w:color w:val="000000"/>
          <w:szCs w:val="22"/>
        </w:rPr>
        <w:t xml:space="preserve"> </w:t>
      </w:r>
    </w:p>
    <w:p w14:paraId="46417251" w14:textId="77777777" w:rsidR="00167A80" w:rsidRPr="00792CE7" w:rsidRDefault="00167A80" w:rsidP="0028218E">
      <w:pPr>
        <w:numPr>
          <w:ilvl w:val="0"/>
          <w:numId w:val="30"/>
        </w:numPr>
        <w:autoSpaceDE w:val="0"/>
        <w:autoSpaceDN w:val="0"/>
        <w:adjustRightInd w:val="0"/>
        <w:ind w:left="720"/>
        <w:rPr>
          <w:rFonts w:eastAsiaTheme="minorHAnsi" w:cs="Arial"/>
          <w:szCs w:val="22"/>
        </w:rPr>
      </w:pPr>
      <w:r w:rsidRPr="00792CE7">
        <w:rPr>
          <w:rFonts w:eastAsiaTheme="minorHAnsi" w:cs="Arial"/>
          <w:szCs w:val="22"/>
        </w:rPr>
        <w:t xml:space="preserve">Certification from a public housing authority (PHA), or the owner or property manager of project-based Section 8-assisted housing, or the administrator of tenant-based Section 8-assisted housing that the worker is a participant in one of their </w:t>
      </w:r>
      <w:proofErr w:type="gramStart"/>
      <w:r w:rsidRPr="00792CE7">
        <w:rPr>
          <w:rFonts w:eastAsiaTheme="minorHAnsi" w:cs="Arial"/>
          <w:szCs w:val="22"/>
        </w:rPr>
        <w:t>programs;</w:t>
      </w:r>
      <w:proofErr w:type="gramEnd"/>
      <w:r w:rsidRPr="00792CE7">
        <w:rPr>
          <w:rFonts w:eastAsiaTheme="minorHAnsi" w:cs="Arial"/>
          <w:szCs w:val="22"/>
        </w:rPr>
        <w:t xml:space="preserve"> </w:t>
      </w:r>
    </w:p>
    <w:p w14:paraId="57CB5DDC" w14:textId="6491FC4A" w:rsidR="00167A80" w:rsidRPr="00792CE7" w:rsidRDefault="00B37D38" w:rsidP="0028218E">
      <w:pPr>
        <w:numPr>
          <w:ilvl w:val="0"/>
          <w:numId w:val="30"/>
        </w:numPr>
        <w:autoSpaceDE w:val="0"/>
        <w:autoSpaceDN w:val="0"/>
        <w:adjustRightInd w:val="0"/>
        <w:ind w:left="720"/>
        <w:rPr>
          <w:rFonts w:eastAsiaTheme="minorHAnsi" w:cs="Arial"/>
          <w:szCs w:val="22"/>
        </w:rPr>
      </w:pPr>
      <w:r w:rsidRPr="00B37D38">
        <w:rPr>
          <w:rFonts w:cs="Arial"/>
          <w:bCs/>
          <w:i/>
          <w:iCs/>
          <w:szCs w:val="22"/>
        </w:rPr>
        <w:t>Employer Certification Form</w:t>
      </w:r>
      <w:r>
        <w:rPr>
          <w:rFonts w:cs="Arial"/>
          <w:bCs/>
          <w:i/>
          <w:iCs/>
          <w:szCs w:val="22"/>
        </w:rPr>
        <w:t xml:space="preserve"> </w:t>
      </w:r>
      <w:r w:rsidR="00167A80" w:rsidRPr="00792CE7">
        <w:rPr>
          <w:rFonts w:cs="Arial"/>
          <w:b/>
          <w:szCs w:val="22"/>
        </w:rPr>
        <w:t>(Form A1022)</w:t>
      </w:r>
      <w:r w:rsidR="00167A80" w:rsidRPr="00792CE7">
        <w:rPr>
          <w:rFonts w:cs="Arial"/>
          <w:bCs/>
          <w:szCs w:val="22"/>
        </w:rPr>
        <w:t>, certifying that each listed</w:t>
      </w:r>
      <w:r w:rsidR="00167A80" w:rsidRPr="00792CE7">
        <w:rPr>
          <w:rFonts w:eastAsiaTheme="minorHAnsi" w:cs="Arial"/>
          <w:szCs w:val="22"/>
        </w:rPr>
        <w:t xml:space="preserve"> worker’s income from that employer is </w:t>
      </w:r>
      <w:r w:rsidR="00F677DD">
        <w:rPr>
          <w:rFonts w:eastAsiaTheme="minorHAnsi" w:cs="Arial"/>
          <w:szCs w:val="22"/>
        </w:rPr>
        <w:t xml:space="preserve">at or </w:t>
      </w:r>
      <w:r w:rsidR="00167A80" w:rsidRPr="00792CE7">
        <w:rPr>
          <w:rFonts w:eastAsiaTheme="minorHAnsi" w:cs="Arial"/>
          <w:szCs w:val="22"/>
        </w:rPr>
        <w:t xml:space="preserve">below the income limit. This certification is based on a calculation of what the worker’s wage rate would </w:t>
      </w:r>
      <w:r w:rsidR="00536C6E">
        <w:rPr>
          <w:rFonts w:eastAsiaTheme="minorHAnsi" w:cs="Arial"/>
          <w:szCs w:val="22"/>
        </w:rPr>
        <w:t>be</w:t>
      </w:r>
      <w:r w:rsidR="00167A80" w:rsidRPr="00792CE7">
        <w:rPr>
          <w:rFonts w:eastAsiaTheme="minorHAnsi" w:cs="Arial"/>
          <w:szCs w:val="22"/>
        </w:rPr>
        <w:t xml:space="preserve"> if annualized on a full-time </w:t>
      </w:r>
      <w:proofErr w:type="gramStart"/>
      <w:r w:rsidR="00167A80" w:rsidRPr="00792CE7">
        <w:rPr>
          <w:rFonts w:eastAsiaTheme="minorHAnsi" w:cs="Arial"/>
          <w:szCs w:val="22"/>
        </w:rPr>
        <w:t>basis;</w:t>
      </w:r>
      <w:proofErr w:type="gramEnd"/>
    </w:p>
    <w:p w14:paraId="2FDCAD92" w14:textId="2113FC36" w:rsidR="00167A80" w:rsidRPr="00792CE7" w:rsidRDefault="00B37D38" w:rsidP="0028218E">
      <w:pPr>
        <w:numPr>
          <w:ilvl w:val="0"/>
          <w:numId w:val="30"/>
        </w:numPr>
        <w:autoSpaceDE w:val="0"/>
        <w:autoSpaceDN w:val="0"/>
        <w:adjustRightInd w:val="0"/>
        <w:ind w:left="720"/>
        <w:rPr>
          <w:rFonts w:eastAsiaTheme="minorHAnsi" w:cs="Arial"/>
          <w:szCs w:val="22"/>
        </w:rPr>
      </w:pPr>
      <w:r w:rsidRPr="00B37D38">
        <w:rPr>
          <w:rFonts w:cs="Arial"/>
          <w:bCs/>
          <w:i/>
          <w:iCs/>
          <w:szCs w:val="22"/>
        </w:rPr>
        <w:t>Certification as Section 3 Business</w:t>
      </w:r>
      <w:r>
        <w:rPr>
          <w:rFonts w:cs="Arial"/>
          <w:bCs/>
          <w:i/>
          <w:iCs/>
          <w:szCs w:val="22"/>
        </w:rPr>
        <w:t xml:space="preserve"> </w:t>
      </w:r>
      <w:r w:rsidR="00167A80" w:rsidRPr="00792CE7">
        <w:rPr>
          <w:rFonts w:cs="Arial"/>
          <w:b/>
          <w:szCs w:val="22"/>
        </w:rPr>
        <w:t>(Form A102</w:t>
      </w:r>
      <w:r>
        <w:rPr>
          <w:rFonts w:cs="Arial"/>
          <w:b/>
          <w:szCs w:val="22"/>
        </w:rPr>
        <w:t>3</w:t>
      </w:r>
      <w:r w:rsidR="00167A80" w:rsidRPr="00792CE7">
        <w:rPr>
          <w:rFonts w:cs="Arial"/>
          <w:b/>
          <w:szCs w:val="22"/>
        </w:rPr>
        <w:t>)</w:t>
      </w:r>
      <w:r w:rsidR="00167A80" w:rsidRPr="00792CE7">
        <w:rPr>
          <w:rFonts w:cs="Arial"/>
          <w:bCs/>
          <w:szCs w:val="22"/>
        </w:rPr>
        <w:t>, if the employer is a Section 3 business, identifying all workers for the project; or</w:t>
      </w:r>
    </w:p>
    <w:p w14:paraId="3FFB7C0D" w14:textId="4CE0ADAD" w:rsidR="00167A80" w:rsidRPr="00792CE7" w:rsidRDefault="00792CE7" w:rsidP="0028218E">
      <w:pPr>
        <w:numPr>
          <w:ilvl w:val="0"/>
          <w:numId w:val="30"/>
        </w:numPr>
        <w:autoSpaceDE w:val="0"/>
        <w:autoSpaceDN w:val="0"/>
        <w:adjustRightInd w:val="0"/>
        <w:ind w:left="720"/>
        <w:rPr>
          <w:rFonts w:eastAsiaTheme="minorHAnsi" w:cs="Arial"/>
          <w:szCs w:val="22"/>
        </w:rPr>
      </w:pPr>
      <w:r>
        <w:rPr>
          <w:rFonts w:cs="Arial"/>
          <w:bCs/>
          <w:szCs w:val="22"/>
        </w:rPr>
        <w:t>An e</w:t>
      </w:r>
      <w:r w:rsidR="00167A80" w:rsidRPr="00792CE7">
        <w:rPr>
          <w:rFonts w:cs="Arial"/>
          <w:bCs/>
          <w:szCs w:val="22"/>
        </w:rPr>
        <w:t xml:space="preserve">mployer-generated document that includes the </w:t>
      </w:r>
      <w:proofErr w:type="gramStart"/>
      <w:r w:rsidR="00167A80" w:rsidRPr="00792CE7">
        <w:rPr>
          <w:rFonts w:cs="Arial"/>
          <w:bCs/>
          <w:szCs w:val="22"/>
        </w:rPr>
        <w:t>worker</w:t>
      </w:r>
      <w:proofErr w:type="gramEnd"/>
      <w:r w:rsidR="00167A80" w:rsidRPr="00792CE7">
        <w:rPr>
          <w:rFonts w:cs="Arial"/>
          <w:bCs/>
          <w:szCs w:val="22"/>
        </w:rPr>
        <w:t xml:space="preserve"> name and assignment of Section 3 status based on the employer’s review of the annualized income of the worker, and is signed by the employer.</w:t>
      </w:r>
    </w:p>
    <w:p w14:paraId="31EF0FDF" w14:textId="77777777" w:rsidR="00536C6E" w:rsidRDefault="00536C6E" w:rsidP="00BA651B">
      <w:pPr>
        <w:ind w:left="720"/>
        <w:rPr>
          <w:rFonts w:eastAsiaTheme="minorHAnsi"/>
        </w:rPr>
      </w:pPr>
    </w:p>
    <w:p w14:paraId="3E7BEB7A" w14:textId="24E0F2B4" w:rsidR="00004707" w:rsidRPr="00AD7B6E" w:rsidRDefault="00004707" w:rsidP="009400BC">
      <w:pPr>
        <w:rPr>
          <w:rFonts w:eastAsiaTheme="minorHAnsi"/>
        </w:rPr>
      </w:pPr>
      <w:r w:rsidRPr="009400BC">
        <w:rPr>
          <w:rFonts w:eastAsiaTheme="minorHAnsi" w:cs="Arial"/>
          <w:color w:val="000000"/>
          <w:szCs w:val="22"/>
          <w:u w:val="single"/>
        </w:rPr>
        <w:t>Criteria for Targeted Section 3 Worker Designation</w:t>
      </w:r>
      <w:r w:rsidRPr="009400BC">
        <w:rPr>
          <w:rFonts w:eastAsiaTheme="minorHAnsi" w:cs="Arial"/>
          <w:b/>
          <w:bCs/>
          <w:color w:val="000000"/>
          <w:szCs w:val="22"/>
        </w:rPr>
        <w:t xml:space="preserve">. </w:t>
      </w:r>
      <w:r w:rsidRPr="009400BC">
        <w:rPr>
          <w:rFonts w:eastAsiaTheme="minorHAnsi" w:cs="Arial"/>
          <w:color w:val="000000"/>
          <w:szCs w:val="22"/>
        </w:rPr>
        <w:t>The targeted Section 3 worker designation reflects both statutory and policy priorities to direct employment and economic opportunities to low- and very low-income individuals.</w:t>
      </w:r>
    </w:p>
    <w:p w14:paraId="5E0C090C" w14:textId="77777777" w:rsidR="00167A80" w:rsidRPr="0093542E" w:rsidRDefault="00167A80" w:rsidP="00FD015E">
      <w:pPr>
        <w:rPr>
          <w:rFonts w:eastAsiaTheme="minorHAnsi"/>
        </w:rPr>
      </w:pPr>
    </w:p>
    <w:p w14:paraId="0EC3FC23" w14:textId="5AD98992" w:rsidR="00167A80" w:rsidRPr="0093542E" w:rsidRDefault="00167A80" w:rsidP="00004707">
      <w:pPr>
        <w:autoSpaceDE w:val="0"/>
        <w:autoSpaceDN w:val="0"/>
        <w:adjustRightInd w:val="0"/>
        <w:ind w:firstLine="360"/>
        <w:rPr>
          <w:rFonts w:eastAsiaTheme="minorHAnsi" w:cs="Arial"/>
          <w:color w:val="000000"/>
          <w:szCs w:val="22"/>
        </w:rPr>
      </w:pPr>
      <w:r w:rsidRPr="0093542E">
        <w:rPr>
          <w:rFonts w:eastAsiaTheme="minorHAnsi" w:cs="Arial"/>
          <w:color w:val="000000"/>
          <w:szCs w:val="22"/>
        </w:rPr>
        <w:t xml:space="preserve">For CDBG, the definition of a Targeted Section 3 Worker is a </w:t>
      </w:r>
      <w:r>
        <w:rPr>
          <w:rFonts w:eastAsiaTheme="minorHAnsi" w:cs="Arial"/>
          <w:color w:val="000000"/>
          <w:szCs w:val="22"/>
        </w:rPr>
        <w:t>Section 3 worker that is</w:t>
      </w:r>
    </w:p>
    <w:p w14:paraId="0FAC77FA" w14:textId="5393B10E" w:rsidR="00167A80" w:rsidRPr="0093542E" w:rsidRDefault="00AB59C6" w:rsidP="0028218E">
      <w:pPr>
        <w:numPr>
          <w:ilvl w:val="0"/>
          <w:numId w:val="31"/>
        </w:numPr>
        <w:autoSpaceDE w:val="0"/>
        <w:autoSpaceDN w:val="0"/>
        <w:adjustRightInd w:val="0"/>
        <w:ind w:left="720"/>
        <w:rPr>
          <w:rFonts w:eastAsiaTheme="minorHAnsi" w:cs="Arial"/>
          <w:color w:val="000000"/>
          <w:szCs w:val="22"/>
        </w:rPr>
      </w:pPr>
      <w:r>
        <w:rPr>
          <w:rFonts w:eastAsiaTheme="minorHAnsi" w:cs="Arial"/>
          <w:color w:val="000000"/>
          <w:szCs w:val="22"/>
        </w:rPr>
        <w:t>E</w:t>
      </w:r>
      <w:r w:rsidR="00167A80" w:rsidRPr="0093542E">
        <w:rPr>
          <w:rFonts w:eastAsiaTheme="minorHAnsi" w:cs="Arial"/>
          <w:color w:val="000000"/>
          <w:szCs w:val="22"/>
        </w:rPr>
        <w:t>mployed by a Section 3 business (see Section 3 Business definition above); or</w:t>
      </w:r>
    </w:p>
    <w:p w14:paraId="66835A34" w14:textId="5DCBA8AD" w:rsidR="00167A80" w:rsidRPr="0093542E" w:rsidRDefault="00AB59C6" w:rsidP="0028218E">
      <w:pPr>
        <w:numPr>
          <w:ilvl w:val="0"/>
          <w:numId w:val="31"/>
        </w:numPr>
        <w:autoSpaceDE w:val="0"/>
        <w:autoSpaceDN w:val="0"/>
        <w:adjustRightInd w:val="0"/>
        <w:ind w:left="720"/>
        <w:rPr>
          <w:rFonts w:eastAsiaTheme="minorHAnsi" w:cs="Arial"/>
          <w:color w:val="000000"/>
          <w:szCs w:val="22"/>
        </w:rPr>
      </w:pPr>
      <w:r>
        <w:rPr>
          <w:rFonts w:eastAsiaTheme="minorHAnsi" w:cs="Arial"/>
          <w:color w:val="000000"/>
          <w:szCs w:val="22"/>
        </w:rPr>
        <w:t>A</w:t>
      </w:r>
      <w:r w:rsidR="00167A80" w:rsidRPr="0093542E">
        <w:rPr>
          <w:rFonts w:eastAsiaTheme="minorHAnsi" w:cs="Arial"/>
          <w:color w:val="000000"/>
          <w:szCs w:val="22"/>
        </w:rPr>
        <w:t xml:space="preserve"> worker who currently fits or when hired </w:t>
      </w:r>
      <w:r w:rsidR="005F51E3">
        <w:rPr>
          <w:rFonts w:eastAsiaTheme="minorHAnsi" w:cs="Arial"/>
          <w:color w:val="000000"/>
          <w:szCs w:val="22"/>
        </w:rPr>
        <w:t xml:space="preserve">will </w:t>
      </w:r>
      <w:r w:rsidR="00167A80" w:rsidRPr="0093542E">
        <w:rPr>
          <w:rFonts w:eastAsiaTheme="minorHAnsi" w:cs="Arial"/>
          <w:color w:val="000000"/>
          <w:szCs w:val="22"/>
        </w:rPr>
        <w:t>fit at least one of the following categories, as documented within the past five years:</w:t>
      </w:r>
    </w:p>
    <w:p w14:paraId="5828796C" w14:textId="77777777" w:rsidR="00167A80" w:rsidRPr="002865FD" w:rsidRDefault="00167A80" w:rsidP="0028218E">
      <w:pPr>
        <w:pStyle w:val="ListParagraph"/>
        <w:numPr>
          <w:ilvl w:val="1"/>
          <w:numId w:val="32"/>
        </w:numPr>
        <w:autoSpaceDE w:val="0"/>
        <w:autoSpaceDN w:val="0"/>
        <w:adjustRightInd w:val="0"/>
        <w:ind w:left="1080"/>
        <w:rPr>
          <w:rFonts w:eastAsiaTheme="minorHAnsi" w:cs="Arial"/>
          <w:color w:val="000000"/>
          <w:szCs w:val="22"/>
        </w:rPr>
      </w:pPr>
      <w:r w:rsidRPr="002865FD">
        <w:rPr>
          <w:rFonts w:eastAsiaTheme="minorHAnsi" w:cs="Arial"/>
          <w:color w:val="000000"/>
          <w:szCs w:val="22"/>
        </w:rPr>
        <w:t>Living within the service area of the project; or</w:t>
      </w:r>
    </w:p>
    <w:p w14:paraId="23C6F9BB" w14:textId="77777777" w:rsidR="00167A80" w:rsidRPr="00B37D38" w:rsidRDefault="00167A80" w:rsidP="0028218E">
      <w:pPr>
        <w:pStyle w:val="ListParagraph"/>
        <w:numPr>
          <w:ilvl w:val="1"/>
          <w:numId w:val="32"/>
        </w:numPr>
        <w:autoSpaceDE w:val="0"/>
        <w:autoSpaceDN w:val="0"/>
        <w:adjustRightInd w:val="0"/>
        <w:ind w:left="1080"/>
        <w:rPr>
          <w:rFonts w:eastAsiaTheme="minorHAnsi"/>
        </w:rPr>
      </w:pPr>
      <w:r w:rsidRPr="002865FD">
        <w:rPr>
          <w:rFonts w:eastAsiaTheme="minorHAnsi" w:cs="Arial"/>
          <w:color w:val="000000"/>
          <w:szCs w:val="22"/>
        </w:rPr>
        <w:t xml:space="preserve">A </w:t>
      </w:r>
      <w:proofErr w:type="spellStart"/>
      <w:r w:rsidRPr="002865FD">
        <w:rPr>
          <w:rFonts w:eastAsiaTheme="minorHAnsi" w:cs="Arial"/>
          <w:color w:val="000000"/>
          <w:szCs w:val="22"/>
        </w:rPr>
        <w:t>YouthBuild</w:t>
      </w:r>
      <w:proofErr w:type="spellEnd"/>
      <w:r w:rsidRPr="002865FD">
        <w:rPr>
          <w:rFonts w:eastAsiaTheme="minorHAnsi" w:cs="Arial"/>
          <w:color w:val="000000"/>
          <w:szCs w:val="22"/>
        </w:rPr>
        <w:t xml:space="preserve"> participant.</w:t>
      </w:r>
    </w:p>
    <w:p w14:paraId="23673814" w14:textId="77777777" w:rsidR="00167A80" w:rsidRDefault="00167A80" w:rsidP="00FD015E">
      <w:pPr>
        <w:rPr>
          <w:rFonts w:eastAsiaTheme="minorHAnsi"/>
        </w:rPr>
      </w:pPr>
    </w:p>
    <w:p w14:paraId="49DF1322" w14:textId="22E28B24" w:rsidR="00167A80" w:rsidRPr="00536C6E" w:rsidRDefault="00167A80" w:rsidP="00FD015E">
      <w:pPr>
        <w:pStyle w:val="CDGBBODYSTYLE"/>
        <w:spacing w:line="240" w:lineRule="auto"/>
        <w:jc w:val="left"/>
        <w:rPr>
          <w:rFonts w:eastAsiaTheme="minorHAnsi"/>
        </w:rPr>
      </w:pPr>
      <w:r w:rsidRPr="00536C6E">
        <w:rPr>
          <w:rFonts w:eastAsiaTheme="minorHAnsi"/>
        </w:rPr>
        <w:t xml:space="preserve">If reporting Targeted Section 3 </w:t>
      </w:r>
      <w:r w:rsidR="000D172A">
        <w:rPr>
          <w:rFonts w:eastAsiaTheme="minorHAnsi"/>
        </w:rPr>
        <w:t>w</w:t>
      </w:r>
      <w:r w:rsidRPr="00536C6E">
        <w:rPr>
          <w:rFonts w:eastAsiaTheme="minorHAnsi"/>
        </w:rPr>
        <w:t xml:space="preserve">orkers, mark the location of each </w:t>
      </w:r>
      <w:r w:rsidR="000D172A">
        <w:rPr>
          <w:rFonts w:eastAsiaTheme="minorHAnsi"/>
        </w:rPr>
        <w:t>t</w:t>
      </w:r>
      <w:r w:rsidRPr="00536C6E">
        <w:rPr>
          <w:rFonts w:eastAsiaTheme="minorHAnsi"/>
        </w:rPr>
        <w:t xml:space="preserve">argeted Section 3 </w:t>
      </w:r>
      <w:r w:rsidR="000D172A">
        <w:rPr>
          <w:rFonts w:eastAsiaTheme="minorHAnsi"/>
        </w:rPr>
        <w:t>w</w:t>
      </w:r>
      <w:r w:rsidRPr="00536C6E">
        <w:rPr>
          <w:rFonts w:eastAsiaTheme="minorHAnsi"/>
        </w:rPr>
        <w:t>orker’s residence on the Service Area map.</w:t>
      </w:r>
      <w:r w:rsidR="000D172A">
        <w:rPr>
          <w:rFonts w:eastAsiaTheme="minorHAnsi"/>
        </w:rPr>
        <w:t xml:space="preserve"> </w:t>
      </w:r>
      <w:r w:rsidRPr="00536C6E">
        <w:rPr>
          <w:rFonts w:eastAsiaTheme="minorHAnsi"/>
        </w:rPr>
        <w:t xml:space="preserve">Employers must maintain the current address for each </w:t>
      </w:r>
      <w:r w:rsidR="000D172A" w:rsidRPr="00536C6E">
        <w:rPr>
          <w:rFonts w:eastAsiaTheme="minorHAnsi"/>
        </w:rPr>
        <w:t>employee and</w:t>
      </w:r>
      <w:r w:rsidRPr="00536C6E">
        <w:rPr>
          <w:rFonts w:eastAsiaTheme="minorHAnsi"/>
        </w:rPr>
        <w:t xml:space="preserve"> must provide this information upon request by TDA or other authorized agencies, while safeguarding as sensitive information.</w:t>
      </w:r>
    </w:p>
    <w:p w14:paraId="19DCBF25" w14:textId="2ADB0CF2" w:rsidR="00167A80" w:rsidRDefault="00167A80" w:rsidP="00FD015E">
      <w:pPr>
        <w:rPr>
          <w:rFonts w:eastAsiaTheme="minorHAnsi"/>
        </w:rPr>
      </w:pPr>
    </w:p>
    <w:p w14:paraId="1700AA0E" w14:textId="275E883E" w:rsidR="00167A80" w:rsidRPr="009400BC" w:rsidRDefault="00167A80" w:rsidP="00AD7B6E">
      <w:pPr>
        <w:pStyle w:val="ListParagraph"/>
        <w:autoSpaceDE w:val="0"/>
        <w:autoSpaceDN w:val="0"/>
        <w:adjustRightInd w:val="0"/>
        <w:ind w:left="0"/>
        <w:rPr>
          <w:rFonts w:eastAsiaTheme="minorHAnsi" w:cs="Arial"/>
          <w:color w:val="000000"/>
          <w:szCs w:val="22"/>
          <w:u w:val="single"/>
        </w:rPr>
      </w:pPr>
      <w:r w:rsidRPr="009400BC">
        <w:rPr>
          <w:rFonts w:eastAsiaTheme="minorHAnsi" w:cs="Arial"/>
          <w:color w:val="000000"/>
          <w:szCs w:val="22"/>
          <w:u w:val="single"/>
        </w:rPr>
        <w:t>Criteria for Section 3 Business Designation</w:t>
      </w:r>
    </w:p>
    <w:p w14:paraId="0F88A891" w14:textId="66B38E9A" w:rsidR="00167A80" w:rsidRPr="0093542E" w:rsidRDefault="00167A80" w:rsidP="00FD015E">
      <w:pPr>
        <w:autoSpaceDE w:val="0"/>
        <w:autoSpaceDN w:val="0"/>
        <w:adjustRightInd w:val="0"/>
        <w:rPr>
          <w:rFonts w:ascii="Helvetica" w:eastAsiaTheme="minorHAnsi" w:hAnsi="Helvetica" w:cs="Helvetica"/>
          <w:color w:val="000000"/>
          <w:szCs w:val="22"/>
        </w:rPr>
      </w:pPr>
      <w:r w:rsidRPr="0093542E">
        <w:rPr>
          <w:rFonts w:ascii="Helvetica" w:eastAsiaTheme="minorHAnsi" w:hAnsi="Helvetica" w:cs="Helvetica"/>
          <w:color w:val="000000"/>
          <w:szCs w:val="22"/>
        </w:rPr>
        <w:t xml:space="preserve">One way to target grant funding to the workers that are described in HUD’s Section 3 goals is to identify Section 3 </w:t>
      </w:r>
      <w:r w:rsidR="000D172A">
        <w:rPr>
          <w:rFonts w:ascii="Helvetica" w:eastAsiaTheme="minorHAnsi" w:hAnsi="Helvetica" w:cs="Helvetica"/>
          <w:color w:val="000000"/>
          <w:szCs w:val="22"/>
        </w:rPr>
        <w:t>b</w:t>
      </w:r>
      <w:r w:rsidRPr="0093542E">
        <w:rPr>
          <w:rFonts w:ascii="Helvetica" w:eastAsiaTheme="minorHAnsi" w:hAnsi="Helvetica" w:cs="Helvetica"/>
          <w:color w:val="000000"/>
          <w:szCs w:val="22"/>
        </w:rPr>
        <w:t xml:space="preserve">usinesses. Section 3 </w:t>
      </w:r>
      <w:r w:rsidR="000D172A">
        <w:rPr>
          <w:rFonts w:ascii="Helvetica" w:eastAsiaTheme="minorHAnsi" w:hAnsi="Helvetica" w:cs="Helvetica"/>
          <w:color w:val="000000"/>
          <w:szCs w:val="22"/>
        </w:rPr>
        <w:t>b</w:t>
      </w:r>
      <w:r w:rsidRPr="0093542E">
        <w:rPr>
          <w:rFonts w:ascii="Helvetica" w:eastAsiaTheme="minorHAnsi" w:hAnsi="Helvetica" w:cs="Helvetica"/>
          <w:color w:val="000000"/>
          <w:szCs w:val="22"/>
        </w:rPr>
        <w:t>usinesses must meet at least one of the following regulatory criteria, documented within the last six-month period:</w:t>
      </w:r>
    </w:p>
    <w:p w14:paraId="08B76F1D" w14:textId="77777777" w:rsidR="00167A80" w:rsidRPr="0093542E" w:rsidRDefault="00167A80" w:rsidP="0028218E">
      <w:pPr>
        <w:numPr>
          <w:ilvl w:val="0"/>
          <w:numId w:val="33"/>
        </w:numPr>
        <w:autoSpaceDE w:val="0"/>
        <w:autoSpaceDN w:val="0"/>
        <w:adjustRightInd w:val="0"/>
        <w:ind w:left="720"/>
        <w:rPr>
          <w:rFonts w:ascii="Helvetica" w:eastAsiaTheme="minorHAnsi" w:hAnsi="Helvetica" w:cs="Helvetica"/>
          <w:color w:val="000000"/>
          <w:szCs w:val="22"/>
        </w:rPr>
      </w:pPr>
      <w:r w:rsidRPr="0093542E">
        <w:rPr>
          <w:rFonts w:ascii="Helvetica" w:eastAsiaTheme="minorHAnsi" w:hAnsi="Helvetica" w:cs="Helvetica"/>
          <w:color w:val="000000"/>
          <w:szCs w:val="22"/>
        </w:rPr>
        <w:t xml:space="preserve">It is at least 51% owned and controlled by low- or very low-income </w:t>
      </w:r>
      <w:proofErr w:type="gramStart"/>
      <w:r w:rsidRPr="0093542E">
        <w:rPr>
          <w:rFonts w:ascii="Helvetica" w:eastAsiaTheme="minorHAnsi" w:hAnsi="Helvetica" w:cs="Helvetica"/>
          <w:color w:val="000000"/>
          <w:szCs w:val="22"/>
        </w:rPr>
        <w:t>persons;</w:t>
      </w:r>
      <w:proofErr w:type="gramEnd"/>
    </w:p>
    <w:p w14:paraId="002E5400" w14:textId="7352EF60" w:rsidR="00167A80" w:rsidRPr="0093542E" w:rsidRDefault="00167A80" w:rsidP="0028218E">
      <w:pPr>
        <w:numPr>
          <w:ilvl w:val="0"/>
          <w:numId w:val="33"/>
        </w:numPr>
        <w:autoSpaceDE w:val="0"/>
        <w:autoSpaceDN w:val="0"/>
        <w:adjustRightInd w:val="0"/>
        <w:ind w:left="720"/>
        <w:rPr>
          <w:rFonts w:ascii="Helvetica" w:eastAsiaTheme="minorHAnsi" w:hAnsi="Helvetica" w:cs="Helvetica"/>
          <w:color w:val="000000"/>
          <w:szCs w:val="22"/>
        </w:rPr>
      </w:pPr>
      <w:r w:rsidRPr="0093542E">
        <w:rPr>
          <w:rFonts w:ascii="Helvetica" w:eastAsiaTheme="minorHAnsi" w:hAnsi="Helvetica" w:cs="Helvetica"/>
          <w:color w:val="000000"/>
          <w:szCs w:val="22"/>
        </w:rPr>
        <w:t xml:space="preserve">Over 75% of the labor hours performed for the business over the previous three-month period are performed by Section 3 </w:t>
      </w:r>
      <w:proofErr w:type="gramStart"/>
      <w:r w:rsidR="000D172A">
        <w:rPr>
          <w:rFonts w:ascii="Helvetica" w:eastAsiaTheme="minorHAnsi" w:hAnsi="Helvetica" w:cs="Helvetica"/>
          <w:color w:val="000000"/>
          <w:szCs w:val="22"/>
        </w:rPr>
        <w:t>w</w:t>
      </w:r>
      <w:r w:rsidRPr="0093542E">
        <w:rPr>
          <w:rFonts w:ascii="Helvetica" w:eastAsiaTheme="minorHAnsi" w:hAnsi="Helvetica" w:cs="Helvetica"/>
          <w:color w:val="000000"/>
          <w:szCs w:val="22"/>
        </w:rPr>
        <w:t>orkers;</w:t>
      </w:r>
      <w:proofErr w:type="gramEnd"/>
      <w:r w:rsidRPr="0093542E">
        <w:rPr>
          <w:rFonts w:ascii="Helvetica" w:eastAsiaTheme="minorHAnsi" w:hAnsi="Helvetica" w:cs="Helvetica"/>
          <w:color w:val="000000"/>
          <w:szCs w:val="22"/>
        </w:rPr>
        <w:t xml:space="preserve"> or</w:t>
      </w:r>
    </w:p>
    <w:p w14:paraId="0C593AC7" w14:textId="77777777" w:rsidR="00167A80" w:rsidRPr="0093542E" w:rsidRDefault="00167A80" w:rsidP="0028218E">
      <w:pPr>
        <w:numPr>
          <w:ilvl w:val="0"/>
          <w:numId w:val="33"/>
        </w:numPr>
        <w:autoSpaceDE w:val="0"/>
        <w:autoSpaceDN w:val="0"/>
        <w:adjustRightInd w:val="0"/>
        <w:ind w:left="720"/>
        <w:rPr>
          <w:rFonts w:ascii="Helvetica" w:eastAsiaTheme="minorHAnsi" w:hAnsi="Helvetica" w:cs="Helvetica"/>
          <w:color w:val="000000"/>
          <w:szCs w:val="22"/>
        </w:rPr>
      </w:pPr>
      <w:r w:rsidRPr="0093542E">
        <w:rPr>
          <w:rFonts w:ascii="Helvetica" w:eastAsiaTheme="minorHAnsi" w:hAnsi="Helvetica" w:cs="Helvetica"/>
          <w:color w:val="000000"/>
          <w:szCs w:val="22"/>
        </w:rPr>
        <w:t>It is a business at least 51% owned and controlled by current public housing residents or residents who currently live in Section 8-assisted housing.</w:t>
      </w:r>
    </w:p>
    <w:p w14:paraId="56308F4D" w14:textId="77777777" w:rsidR="00167A80" w:rsidRDefault="00167A80" w:rsidP="00FD015E">
      <w:pPr>
        <w:ind w:left="720"/>
        <w:rPr>
          <w:rFonts w:ascii="Helvetica" w:eastAsiaTheme="minorHAnsi" w:hAnsi="Helvetica" w:cs="Helvetica"/>
          <w:color w:val="000000"/>
          <w:szCs w:val="22"/>
        </w:rPr>
      </w:pPr>
    </w:p>
    <w:p w14:paraId="1FF66F3B" w14:textId="2BCDB341" w:rsidR="00167A80" w:rsidRDefault="00167A80" w:rsidP="00FD015E">
      <w:pPr>
        <w:pStyle w:val="CDGBBODYSTYLE"/>
        <w:spacing w:line="240" w:lineRule="auto"/>
        <w:jc w:val="left"/>
        <w:rPr>
          <w:rFonts w:eastAsiaTheme="minorHAnsi"/>
          <w:color w:val="000000"/>
        </w:rPr>
      </w:pPr>
    </w:p>
    <w:p w14:paraId="143B398F" w14:textId="77777777" w:rsidR="00167A80" w:rsidRPr="0093542E" w:rsidRDefault="00167A80" w:rsidP="00FD015E">
      <w:pPr>
        <w:pStyle w:val="CDGBBODYSTYLE"/>
        <w:spacing w:line="240" w:lineRule="auto"/>
        <w:jc w:val="left"/>
        <w:rPr>
          <w:rFonts w:eastAsiaTheme="minorHAnsi"/>
          <w:color w:val="000000"/>
        </w:rPr>
      </w:pPr>
    </w:p>
    <w:p w14:paraId="3F1BCFC2" w14:textId="3895CBE2" w:rsidR="00167A80" w:rsidRPr="0093542E" w:rsidRDefault="00167A80" w:rsidP="00FD015E">
      <w:pPr>
        <w:pStyle w:val="CDGBBODYSTYLE"/>
        <w:spacing w:line="240" w:lineRule="auto"/>
        <w:jc w:val="left"/>
        <w:rPr>
          <w:rFonts w:eastAsiaTheme="minorHAnsi"/>
          <w:color w:val="000000"/>
        </w:rPr>
      </w:pPr>
      <w:r w:rsidRPr="0093542E">
        <w:rPr>
          <w:rFonts w:eastAsiaTheme="minorHAnsi"/>
          <w:color w:val="000000"/>
        </w:rPr>
        <w:t xml:space="preserve">Section 3 Business status will be reported once for each contract for services. Once a business is determined to be a Section 3 Business, the designation will remain in effect for the life of the contract for services. Records supporting this status must be made available upon request to TDA, HUD, or other state or federal authorized officials. Please redact Personally Identifiable Information (PII) from payroll records prior to releasing any documentation under this requirement. For construction contractor certified payroll reports, HUD requires </w:t>
      </w:r>
      <w:proofErr w:type="gramStart"/>
      <w:r w:rsidRPr="0093542E">
        <w:rPr>
          <w:rFonts w:eastAsiaTheme="minorHAnsi"/>
          <w:color w:val="000000"/>
        </w:rPr>
        <w:t>first</w:t>
      </w:r>
      <w:proofErr w:type="gramEnd"/>
      <w:r w:rsidRPr="0093542E">
        <w:rPr>
          <w:rFonts w:eastAsiaTheme="minorHAnsi"/>
          <w:color w:val="000000"/>
        </w:rPr>
        <w:t xml:space="preserve"> payroll on which each employee appears to include the employee</w:t>
      </w:r>
      <w:r w:rsidR="000748A5">
        <w:rPr>
          <w:rFonts w:eastAsiaTheme="minorHAnsi"/>
          <w:color w:val="000000"/>
        </w:rPr>
        <w:t>’</w:t>
      </w:r>
      <w:r w:rsidRPr="0093542E">
        <w:rPr>
          <w:rFonts w:eastAsiaTheme="minorHAnsi"/>
          <w:color w:val="000000"/>
        </w:rPr>
        <w:t>s name and an individually identifying number. Afterward, the identifying number does not need to be reported unless it is necessary to distinguish between employees.</w:t>
      </w:r>
    </w:p>
    <w:p w14:paraId="7309CD7F" w14:textId="77777777" w:rsidR="00AB59C6" w:rsidRDefault="00AB59C6" w:rsidP="00FD015E">
      <w:pPr>
        <w:pStyle w:val="CDGBBODYSTYLE"/>
        <w:spacing w:line="240" w:lineRule="auto"/>
        <w:ind w:left="360"/>
        <w:jc w:val="left"/>
        <w:rPr>
          <w:rFonts w:eastAsiaTheme="minorHAnsi"/>
          <w:b/>
          <w:bCs/>
        </w:rPr>
      </w:pPr>
    </w:p>
    <w:p w14:paraId="35D69130" w14:textId="456C9E82" w:rsidR="00167A80" w:rsidRPr="0093542E" w:rsidRDefault="00167A80" w:rsidP="00FD015E">
      <w:pPr>
        <w:pStyle w:val="CDGBBODYSTYLE"/>
        <w:spacing w:line="240" w:lineRule="auto"/>
        <w:jc w:val="left"/>
        <w:rPr>
          <w:rFonts w:eastAsiaTheme="minorHAnsi"/>
        </w:rPr>
      </w:pPr>
      <w:r w:rsidRPr="0093542E">
        <w:rPr>
          <w:rFonts w:eastAsiaTheme="minorHAnsi"/>
          <w:b/>
          <w:bCs/>
        </w:rPr>
        <w:t>NOTE</w:t>
      </w:r>
      <w:r w:rsidRPr="0093542E">
        <w:rPr>
          <w:rFonts w:eastAsiaTheme="minorHAnsi"/>
        </w:rPr>
        <w:t xml:space="preserve">: Section 3 Businesses may only be selected in accordance with the procurement standards of </w:t>
      </w:r>
      <w:r w:rsidRPr="007722E3">
        <w:rPr>
          <w:rFonts w:eastAsiaTheme="minorHAnsi"/>
          <w:i/>
          <w:iCs/>
        </w:rPr>
        <w:t>Chapter 5</w:t>
      </w:r>
      <w:r w:rsidR="00B37D38">
        <w:rPr>
          <w:rFonts w:eastAsiaTheme="minorHAnsi"/>
          <w:i/>
          <w:iCs/>
        </w:rPr>
        <w:t xml:space="preserve"> Procurement Procedures</w:t>
      </w:r>
      <w:r w:rsidR="00B37D38">
        <w:rPr>
          <w:rFonts w:eastAsiaTheme="minorHAnsi"/>
        </w:rPr>
        <w:t xml:space="preserve">, </w:t>
      </w:r>
      <w:r w:rsidRPr="0093542E">
        <w:rPr>
          <w:rFonts w:eastAsiaTheme="minorHAnsi"/>
        </w:rPr>
        <w:t>including price, ability, and willingness to comply with program requirements, to be considered lowest responsible bidders on contracting opportunities being sought. However, Grant Recipients should make every effort to ensure that Section 3 Businesses are able to effectively participate in the opportunity. In turn, contractors and others should direct their efforts to award subcontracting opportunities generated from the expenditure of housing and community development financial assistance to Section 3 Businesses.</w:t>
      </w:r>
    </w:p>
    <w:p w14:paraId="7CDCE117" w14:textId="65C2CF51" w:rsidR="00F270EC" w:rsidRDefault="00F270EC" w:rsidP="00FD015E"/>
    <w:p w14:paraId="33A959D3" w14:textId="60346B33" w:rsidR="003124DF" w:rsidRPr="00AB59C6" w:rsidRDefault="003124DF" w:rsidP="00FD015E">
      <w:pPr>
        <w:pStyle w:val="Heading2"/>
      </w:pPr>
      <w:bookmarkStart w:id="44" w:name="_Toc123116597"/>
      <w:bookmarkStart w:id="45" w:name="_Toc171791357"/>
      <w:r w:rsidRPr="00AB59C6">
        <w:t xml:space="preserve">10.1.9 </w:t>
      </w:r>
      <w:r w:rsidR="00123C61" w:rsidRPr="00AB59C6">
        <w:t>VAWA Certification</w:t>
      </w:r>
      <w:bookmarkEnd w:id="44"/>
      <w:bookmarkEnd w:id="45"/>
    </w:p>
    <w:p w14:paraId="7D98320F" w14:textId="77149188" w:rsidR="00F55A17" w:rsidRPr="00AB59C6" w:rsidRDefault="00F55A17" w:rsidP="00FD015E"/>
    <w:p w14:paraId="4845B345" w14:textId="140955C3" w:rsidR="003124DF" w:rsidRPr="00AB59C6" w:rsidRDefault="003124DF" w:rsidP="00FD015E">
      <w:pPr>
        <w:pStyle w:val="CDGBBODYSTYLE"/>
        <w:spacing w:line="240" w:lineRule="auto"/>
        <w:jc w:val="left"/>
      </w:pPr>
      <w:r w:rsidRPr="00AB59C6">
        <w:t>The Violence Against Women Act (VAWA) Reauthorization Act of 2022, which became effective October 1, 2022, includes a new requirement Grant Recipients to support an individual’s, including survivor’s, right to seek law enforcement or emergency assistance. TxCDBG grants awarded on or after</w:t>
      </w:r>
      <w:r w:rsidR="00123C61" w:rsidRPr="00AB59C6">
        <w:t xml:space="preserve"> </w:t>
      </w:r>
      <w:r w:rsidRPr="00AB59C6">
        <w:t>the effective date will be required to:</w:t>
      </w:r>
    </w:p>
    <w:p w14:paraId="715B537B" w14:textId="0A710495" w:rsidR="003124DF" w:rsidRPr="00AB59C6" w:rsidRDefault="003124DF" w:rsidP="0028218E">
      <w:pPr>
        <w:pStyle w:val="CDGBBODYSTYLE"/>
        <w:numPr>
          <w:ilvl w:val="3"/>
          <w:numId w:val="11"/>
        </w:numPr>
        <w:spacing w:line="240" w:lineRule="auto"/>
        <w:ind w:left="720"/>
        <w:jc w:val="left"/>
      </w:pPr>
      <w:r w:rsidRPr="00AB59C6">
        <w:t xml:space="preserve"> </w:t>
      </w:r>
      <w:r w:rsidR="00AB59C6">
        <w:t>“R</w:t>
      </w:r>
      <w:r w:rsidRPr="00AB59C6">
        <w:t>eport any of their laws or policies, or, as applicable, the laws or policies adopted by subgrantees, that impose penalties on landlords, homeowners, tenants, residents, occupants, guests, or housing applicants based on requests for law enforcement or emergency assistance or based on criminal activity that occurred at a property; and</w:t>
      </w:r>
    </w:p>
    <w:p w14:paraId="1EFBA38A" w14:textId="5A87E2FF" w:rsidR="003124DF" w:rsidRPr="00AB59C6" w:rsidRDefault="00AB59C6" w:rsidP="0028218E">
      <w:pPr>
        <w:pStyle w:val="CDGBBODYSTYLE"/>
        <w:numPr>
          <w:ilvl w:val="3"/>
          <w:numId w:val="11"/>
        </w:numPr>
        <w:spacing w:line="240" w:lineRule="auto"/>
        <w:ind w:left="720"/>
        <w:jc w:val="left"/>
      </w:pPr>
      <w:r w:rsidRPr="00AB59C6">
        <w:t>C</w:t>
      </w:r>
      <w:r w:rsidR="003124DF" w:rsidRPr="00AB59C6">
        <w:t xml:space="preserve">ertify that they </w:t>
      </w:r>
      <w:proofErr w:type="gramStart"/>
      <w:r w:rsidR="003124DF" w:rsidRPr="00AB59C6">
        <w:t>are in compliance</w:t>
      </w:r>
      <w:proofErr w:type="gramEnd"/>
      <w:r w:rsidR="003124DF" w:rsidRPr="00AB59C6">
        <w:t xml:space="preserve">…” with the </w:t>
      </w:r>
      <w:r w:rsidR="00123C61" w:rsidRPr="00AB59C6">
        <w:t>VAWA requirements.</w:t>
      </w:r>
    </w:p>
    <w:p w14:paraId="5458B37A" w14:textId="77777777" w:rsidR="003124DF" w:rsidRPr="00AB59C6" w:rsidRDefault="003124DF" w:rsidP="00FD015E">
      <w:pPr>
        <w:pStyle w:val="CDGBBODYSTYLE"/>
        <w:spacing w:line="240" w:lineRule="auto"/>
        <w:jc w:val="left"/>
      </w:pPr>
    </w:p>
    <w:p w14:paraId="718285F3" w14:textId="044EF9D8" w:rsidR="002865FD" w:rsidRPr="00F74A6B" w:rsidRDefault="00123C61" w:rsidP="00FD015E">
      <w:pPr>
        <w:pStyle w:val="CDGBBODYSTYLE"/>
        <w:spacing w:line="240" w:lineRule="auto"/>
        <w:jc w:val="left"/>
      </w:pPr>
      <w:r w:rsidRPr="00AB59C6">
        <w:t xml:space="preserve">As of the publication of this Manual, HUD has not provided guidance for this review and certification.  Once issued, TDA will provide a Policy </w:t>
      </w:r>
      <w:r w:rsidRPr="002865FD">
        <w:t>Issuance and sample certification.</w:t>
      </w:r>
      <w:r w:rsidR="00F74A6B">
        <w:t xml:space="preserve"> Currently, Grant Recipients may utilize </w:t>
      </w:r>
      <w:r w:rsidR="00F74A6B" w:rsidRPr="00767A05">
        <w:rPr>
          <w:i/>
          <w:iCs/>
        </w:rPr>
        <w:t>Violence Against Women Act (VAWA) Certification</w:t>
      </w:r>
      <w:r w:rsidR="00F74A6B">
        <w:t xml:space="preserve"> </w:t>
      </w:r>
      <w:r w:rsidR="00F74A6B" w:rsidRPr="00767A05">
        <w:rPr>
          <w:b/>
          <w:bCs/>
        </w:rPr>
        <w:t>(Form A1025)</w:t>
      </w:r>
      <w:r w:rsidR="00F74A6B">
        <w:t xml:space="preserve"> to certify compliance with the </w:t>
      </w:r>
      <w:r w:rsidR="00F74A6B" w:rsidRPr="00AB59C6">
        <w:t>Violence Against Women Act (VAWA) Reauthorization Act of 2022</w:t>
      </w:r>
      <w:r w:rsidR="00F74A6B">
        <w:t>.</w:t>
      </w:r>
      <w:r w:rsidR="00156005">
        <w:t xml:space="preserve"> </w:t>
      </w:r>
      <w:r w:rsidR="00D979FE" w:rsidRPr="002C2916">
        <w:t xml:space="preserve">This </w:t>
      </w:r>
      <w:r w:rsidR="00D979FE">
        <w:t>certification form is then uploaded</w:t>
      </w:r>
      <w:r w:rsidR="00D979FE" w:rsidRPr="002C2916">
        <w:t xml:space="preserve"> on the </w:t>
      </w:r>
      <w:r w:rsidR="00D979FE" w:rsidRPr="000F5CD7">
        <w:rPr>
          <w:i/>
          <w:iCs/>
        </w:rPr>
        <w:t>Grant Overview</w:t>
      </w:r>
      <w:r w:rsidR="00D979FE" w:rsidRPr="002C2916">
        <w:t xml:space="preserve"> page of the TDA-GO</w:t>
      </w:r>
    </w:p>
    <w:p w14:paraId="1C833848" w14:textId="77777777" w:rsidR="00B32B5C" w:rsidRDefault="00B32B5C" w:rsidP="00056AA6">
      <w:pPr>
        <w:pStyle w:val="Heading1"/>
      </w:pPr>
      <w:bookmarkStart w:id="46" w:name="_Toc123116598"/>
    </w:p>
    <w:p w14:paraId="024DBA14" w14:textId="251931D6" w:rsidR="00B6556A" w:rsidRPr="000D172A" w:rsidRDefault="00B6556A" w:rsidP="00056AA6">
      <w:pPr>
        <w:pStyle w:val="Heading1"/>
      </w:pPr>
      <w:bookmarkStart w:id="47" w:name="_Toc171791358"/>
      <w:r w:rsidRPr="000D172A">
        <w:t>10.</w:t>
      </w:r>
      <w:r w:rsidR="00F270EC" w:rsidRPr="000D172A">
        <w:t>2</w:t>
      </w:r>
      <w:r w:rsidRPr="000D172A">
        <w:t xml:space="preserve"> </w:t>
      </w:r>
      <w:r w:rsidR="00401100" w:rsidRPr="00056AA6">
        <w:t>Recordkeeping</w:t>
      </w:r>
      <w:bookmarkEnd w:id="46"/>
      <w:bookmarkEnd w:id="47"/>
    </w:p>
    <w:p w14:paraId="32133F64" w14:textId="638B09AF" w:rsidR="00EE3745" w:rsidRDefault="00EE3745" w:rsidP="00FD015E">
      <w:pPr>
        <w:pStyle w:val="CDGBBullets-1stindent"/>
        <w:numPr>
          <w:ilvl w:val="0"/>
          <w:numId w:val="0"/>
        </w:numPr>
        <w:spacing w:line="240" w:lineRule="auto"/>
      </w:pPr>
    </w:p>
    <w:p w14:paraId="67FF734F" w14:textId="3CCC0DE2" w:rsidR="00167A80" w:rsidRDefault="00167A80" w:rsidP="00FD015E">
      <w:pPr>
        <w:pStyle w:val="Heading2"/>
      </w:pPr>
      <w:bookmarkStart w:id="48" w:name="_Toc123116599"/>
      <w:bookmarkStart w:id="49" w:name="_Toc171791359"/>
      <w:r>
        <w:t>10.2.1 Civil Rights Officer</w:t>
      </w:r>
      <w:bookmarkEnd w:id="48"/>
      <w:bookmarkEnd w:id="49"/>
    </w:p>
    <w:p w14:paraId="63223042" w14:textId="77777777" w:rsidR="00B32B5C" w:rsidRPr="00B32B5C" w:rsidRDefault="00B32B5C" w:rsidP="00767A05"/>
    <w:p w14:paraId="529F3E76" w14:textId="77777777" w:rsidR="00167A80" w:rsidRDefault="00167A80" w:rsidP="00FD015E">
      <w:pPr>
        <w:pStyle w:val="CDGBBODYSTYLE"/>
        <w:spacing w:line="240" w:lineRule="auto"/>
        <w:jc w:val="left"/>
      </w:pPr>
      <w:r w:rsidRPr="00E06233">
        <w:t xml:space="preserve">The Grant Recipient must designate a Civil Rights Officer (CRO). The CRO will be responsible for ensuring all requirements in this chapter are met and all documentation related to compliance with this chapter’s requirements is submitted to TDA. </w:t>
      </w:r>
    </w:p>
    <w:p w14:paraId="422C28B5" w14:textId="77777777" w:rsidR="00167A80" w:rsidRPr="002C2916" w:rsidRDefault="00167A80" w:rsidP="0028218E">
      <w:pPr>
        <w:pStyle w:val="CDGBBullets-1stindent"/>
        <w:numPr>
          <w:ilvl w:val="0"/>
          <w:numId w:val="34"/>
        </w:numPr>
        <w:spacing w:line="240" w:lineRule="auto"/>
      </w:pPr>
      <w:r w:rsidRPr="002C2916">
        <w:t xml:space="preserve">The CRO serves as the Grant Recipient’s Section 504 Coordinator, Equal Opportunity Officer, and Fair Housing Officer. </w:t>
      </w:r>
    </w:p>
    <w:p w14:paraId="33227A8D" w14:textId="77777777" w:rsidR="00167A80" w:rsidRPr="002C2916" w:rsidRDefault="00167A80" w:rsidP="0028218E">
      <w:pPr>
        <w:pStyle w:val="CDGBBullets-1stindent"/>
        <w:numPr>
          <w:ilvl w:val="0"/>
          <w:numId w:val="34"/>
        </w:numPr>
        <w:spacing w:line="240" w:lineRule="auto"/>
      </w:pPr>
      <w:r w:rsidRPr="002C2916">
        <w:t xml:space="preserve">Grant Recipients are the ultimate responsible entity for the enforcement of the Civil Rights Requirements. Therefore, the CRO must be a local staff member or official. </w:t>
      </w:r>
    </w:p>
    <w:p w14:paraId="4CC4420C" w14:textId="6074BB35" w:rsidR="00167A80" w:rsidRPr="002C2916" w:rsidRDefault="00167A80" w:rsidP="0028218E">
      <w:pPr>
        <w:pStyle w:val="CDGBBullets-1stindent"/>
        <w:numPr>
          <w:ilvl w:val="0"/>
          <w:numId w:val="34"/>
        </w:numPr>
        <w:spacing w:line="240" w:lineRule="auto"/>
      </w:pPr>
      <w:r w:rsidRPr="002C2916">
        <w:t xml:space="preserve">Prior to submitting the first </w:t>
      </w:r>
      <w:r w:rsidR="002C2916">
        <w:t>p</w:t>
      </w:r>
      <w:r w:rsidRPr="002C2916">
        <w:t xml:space="preserve">ayment </w:t>
      </w:r>
      <w:r w:rsidR="002C2916">
        <w:t>r</w:t>
      </w:r>
      <w:r w:rsidRPr="002C2916">
        <w:t xml:space="preserve">equest, the </w:t>
      </w:r>
      <w:r w:rsidR="002C2916">
        <w:t>a</w:t>
      </w:r>
      <w:r w:rsidRPr="002C2916">
        <w:t xml:space="preserve">uthorized </w:t>
      </w:r>
      <w:r w:rsidR="002C2916">
        <w:t>o</w:t>
      </w:r>
      <w:r w:rsidRPr="002C2916">
        <w:t xml:space="preserve">fficial must provide the name of the designated CRO. This information is entered on the </w:t>
      </w:r>
      <w:r w:rsidR="000F5CD7" w:rsidRPr="000F5CD7">
        <w:rPr>
          <w:i/>
          <w:iCs/>
        </w:rPr>
        <w:t>G</w:t>
      </w:r>
      <w:r w:rsidRPr="000F5CD7">
        <w:rPr>
          <w:i/>
          <w:iCs/>
        </w:rPr>
        <w:t xml:space="preserve">rant </w:t>
      </w:r>
      <w:r w:rsidR="000F5CD7" w:rsidRPr="000F5CD7">
        <w:rPr>
          <w:i/>
          <w:iCs/>
        </w:rPr>
        <w:t>O</w:t>
      </w:r>
      <w:r w:rsidRPr="000F5CD7">
        <w:rPr>
          <w:i/>
          <w:iCs/>
        </w:rPr>
        <w:t>verview</w:t>
      </w:r>
      <w:r w:rsidRPr="002C2916">
        <w:t xml:space="preserve"> page of the TDA-GO </w:t>
      </w:r>
      <w:r w:rsidR="002C2916">
        <w:t>a</w:t>
      </w:r>
      <w:r w:rsidRPr="002C2916">
        <w:t>pplication/</w:t>
      </w:r>
      <w:r w:rsidR="002C2916">
        <w:t>g</w:t>
      </w:r>
      <w:r w:rsidRPr="002C2916">
        <w:t xml:space="preserve">rant </w:t>
      </w:r>
      <w:r w:rsidR="002C2916" w:rsidRPr="002C2916">
        <w:t>document and</w:t>
      </w:r>
      <w:r w:rsidRPr="002C2916">
        <w:t xml:space="preserve"> requires the </w:t>
      </w:r>
      <w:r w:rsidR="002C2916">
        <w:t>a</w:t>
      </w:r>
      <w:r w:rsidRPr="002C2916">
        <w:t xml:space="preserve">uthorized </w:t>
      </w:r>
      <w:r w:rsidR="002C2916">
        <w:t>o</w:t>
      </w:r>
      <w:r w:rsidRPr="002C2916">
        <w:t>fficial’s certification.</w:t>
      </w:r>
    </w:p>
    <w:p w14:paraId="2026A37F" w14:textId="77777777" w:rsidR="00167A80" w:rsidRPr="002C2916" w:rsidRDefault="00167A80" w:rsidP="0028218E">
      <w:pPr>
        <w:pStyle w:val="CDGBBullets-1stindent"/>
        <w:numPr>
          <w:ilvl w:val="0"/>
          <w:numId w:val="0"/>
        </w:numPr>
        <w:spacing w:line="240" w:lineRule="auto"/>
        <w:ind w:left="720"/>
      </w:pPr>
      <w:r w:rsidRPr="002C2916">
        <w:rPr>
          <w:b/>
          <w:bCs w:val="0"/>
        </w:rPr>
        <w:t>BEST</w:t>
      </w:r>
      <w:r w:rsidRPr="002C2916">
        <w:t xml:space="preserve"> </w:t>
      </w:r>
      <w:r w:rsidRPr="002C2916">
        <w:rPr>
          <w:b/>
          <w:bCs w:val="0"/>
        </w:rPr>
        <w:t>PRACTICES</w:t>
      </w:r>
      <w:r w:rsidRPr="002C2916">
        <w:t>: Upon the award of any TxCDBG grant, discuss all required civil rights, equal opportunity, and citizen participation policies and plans during a city council or commissioner’s court meeting to ensure that both local leadership and residents understand the policies and plans.</w:t>
      </w:r>
    </w:p>
    <w:p w14:paraId="055B1083" w14:textId="4AAD25C3" w:rsidR="00167A80" w:rsidRDefault="00167A80" w:rsidP="0028218E">
      <w:pPr>
        <w:pStyle w:val="CDGBBullets-1stindent"/>
        <w:numPr>
          <w:ilvl w:val="0"/>
          <w:numId w:val="34"/>
        </w:numPr>
        <w:spacing w:line="240" w:lineRule="auto"/>
      </w:pPr>
      <w:r w:rsidRPr="002C2916">
        <w:t xml:space="preserve">The </w:t>
      </w:r>
      <w:r w:rsidRPr="002C2916">
        <w:rPr>
          <w:i/>
          <w:iCs/>
        </w:rPr>
        <w:t>Civil Rights Responsibilities Checklist</w:t>
      </w:r>
      <w:r w:rsidRPr="002C2916">
        <w:t xml:space="preserve"> </w:t>
      </w:r>
      <w:r w:rsidRPr="002C2916">
        <w:rPr>
          <w:b/>
        </w:rPr>
        <w:t xml:space="preserve">(Form A1016) </w:t>
      </w:r>
      <w:r w:rsidRPr="002C2916">
        <w:t>provides a guide for civil rights requirements.</w:t>
      </w:r>
    </w:p>
    <w:p w14:paraId="6F8E8E9E" w14:textId="77777777" w:rsidR="002C2916" w:rsidRPr="002C2916" w:rsidRDefault="002C2916" w:rsidP="00FD015E"/>
    <w:p w14:paraId="4ABB1C73" w14:textId="4B022900" w:rsidR="00F270EC" w:rsidRDefault="00F270EC" w:rsidP="00FD015E">
      <w:pPr>
        <w:pStyle w:val="Heading2"/>
      </w:pPr>
      <w:bookmarkStart w:id="50" w:name="_Toc123116600"/>
      <w:bookmarkStart w:id="51" w:name="_Toc171791360"/>
      <w:r>
        <w:t>10.2.</w:t>
      </w:r>
      <w:r w:rsidR="00167A80">
        <w:t>2 Local Resolution</w:t>
      </w:r>
      <w:bookmarkEnd w:id="50"/>
      <w:bookmarkEnd w:id="51"/>
    </w:p>
    <w:p w14:paraId="2CEBCA88" w14:textId="77777777" w:rsidR="002C2916" w:rsidRDefault="002C2916" w:rsidP="00FD015E"/>
    <w:p w14:paraId="3B80D29D" w14:textId="07C974F8" w:rsidR="00DA5BC1" w:rsidRPr="00FB06DE" w:rsidRDefault="00EE3745" w:rsidP="00FD015E">
      <w:pPr>
        <w:pStyle w:val="CDGBBullets-1stindent"/>
        <w:numPr>
          <w:ilvl w:val="0"/>
          <w:numId w:val="0"/>
        </w:numPr>
        <w:spacing w:line="240" w:lineRule="auto"/>
      </w:pPr>
      <w:r>
        <w:t>To demonstrate compliance with the requirements of this chapter</w:t>
      </w:r>
      <w:r w:rsidR="00233F03">
        <w:t xml:space="preserve">, </w:t>
      </w:r>
      <w:r w:rsidR="0076768F">
        <w:t>Grant</w:t>
      </w:r>
      <w:r w:rsidR="00233F03">
        <w:t xml:space="preserve"> Recipients must adopt a resolution through the local governing body (city council/commissioners court) to adopt and/or </w:t>
      </w:r>
      <w:r w:rsidR="00233F03" w:rsidRPr="00DA5BC1">
        <w:t xml:space="preserve">reaffirm the </w:t>
      </w:r>
      <w:r w:rsidR="00C73544" w:rsidRPr="00DA5BC1">
        <w:t xml:space="preserve">following </w:t>
      </w:r>
      <w:r w:rsidR="00233F03" w:rsidRPr="00DA5BC1">
        <w:t>required community policies</w:t>
      </w:r>
      <w:r w:rsidR="00DA5BC1" w:rsidRPr="00DA5BC1">
        <w:t>.  These</w:t>
      </w:r>
      <w:r w:rsidR="00DA5BC1" w:rsidRPr="00FB06DE">
        <w:t xml:space="preserve"> policies </w:t>
      </w:r>
      <w:r w:rsidR="00DA5BC1">
        <w:t>may</w:t>
      </w:r>
      <w:r w:rsidR="00DA5BC1" w:rsidRPr="00FB06DE">
        <w:t xml:space="preserve"> have already been adopted previously. </w:t>
      </w:r>
    </w:p>
    <w:p w14:paraId="35F0CAB1" w14:textId="5223350F" w:rsidR="00C73544" w:rsidRPr="002C2916" w:rsidRDefault="00B37D38" w:rsidP="0028218E">
      <w:pPr>
        <w:pStyle w:val="CDGBBullets-1stindent"/>
        <w:numPr>
          <w:ilvl w:val="0"/>
          <w:numId w:val="35"/>
        </w:numPr>
        <w:spacing w:line="240" w:lineRule="auto"/>
        <w:ind w:left="720"/>
      </w:pPr>
      <w:r>
        <w:rPr>
          <w:i/>
          <w:iCs/>
        </w:rPr>
        <w:t xml:space="preserve">Sample </w:t>
      </w:r>
      <w:r w:rsidR="00C73544" w:rsidRPr="002C2916">
        <w:rPr>
          <w:i/>
          <w:iCs/>
        </w:rPr>
        <w:t xml:space="preserve">Citizen Participation Plan </w:t>
      </w:r>
      <w:r w:rsidR="00C73544" w:rsidRPr="002C2916">
        <w:rPr>
          <w:b/>
          <w:bCs w:val="0"/>
        </w:rPr>
        <w:t>(Form A1013</w:t>
      </w:r>
      <w:proofErr w:type="gramStart"/>
      <w:r w:rsidR="00C73544" w:rsidRPr="002C2916">
        <w:t>);</w:t>
      </w:r>
      <w:proofErr w:type="gramEnd"/>
    </w:p>
    <w:p w14:paraId="7FC9DE77" w14:textId="390C043B" w:rsidR="00C73544" w:rsidRPr="002C2916" w:rsidRDefault="00C73544" w:rsidP="0028218E">
      <w:pPr>
        <w:pStyle w:val="CDGBBullets-1stindent"/>
        <w:numPr>
          <w:ilvl w:val="0"/>
          <w:numId w:val="35"/>
        </w:numPr>
        <w:spacing w:line="240" w:lineRule="auto"/>
        <w:ind w:left="720"/>
      </w:pPr>
      <w:r w:rsidRPr="002C2916">
        <w:rPr>
          <w:i/>
          <w:iCs/>
        </w:rPr>
        <w:t>Section 504 Policy and Grievance Procedures</w:t>
      </w:r>
      <w:r w:rsidRPr="002C2916">
        <w:t xml:space="preserve"> [If Grant Recipient employs 15 or more employees], </w:t>
      </w:r>
      <w:r w:rsidRPr="002C2916">
        <w:rPr>
          <w:b/>
          <w:bCs w:val="0"/>
        </w:rPr>
        <w:t>(Form A1004</w:t>
      </w:r>
      <w:proofErr w:type="gramStart"/>
      <w:r w:rsidRPr="002C2916">
        <w:t>);</w:t>
      </w:r>
      <w:proofErr w:type="gramEnd"/>
    </w:p>
    <w:p w14:paraId="6A390C66" w14:textId="2BB75738" w:rsidR="008D14D9" w:rsidRPr="002C2916" w:rsidRDefault="00B37D38" w:rsidP="0028218E">
      <w:pPr>
        <w:pStyle w:val="CDGBBullets-1stindent"/>
        <w:numPr>
          <w:ilvl w:val="0"/>
          <w:numId w:val="35"/>
        </w:numPr>
        <w:spacing w:line="240" w:lineRule="auto"/>
        <w:ind w:left="720"/>
      </w:pPr>
      <w:r>
        <w:rPr>
          <w:i/>
          <w:iCs/>
        </w:rPr>
        <w:t xml:space="preserve">Sample </w:t>
      </w:r>
      <w:r w:rsidR="008D14D9" w:rsidRPr="002C2916">
        <w:rPr>
          <w:i/>
          <w:iCs/>
        </w:rPr>
        <w:t xml:space="preserve">Fair Housing Policy </w:t>
      </w:r>
      <w:r w:rsidR="008D14D9" w:rsidRPr="002C2916">
        <w:t>(</w:t>
      </w:r>
      <w:r>
        <w:rPr>
          <w:b/>
          <w:bCs w:val="0"/>
        </w:rPr>
        <w:t>Form</w:t>
      </w:r>
      <w:r w:rsidR="008D14D9" w:rsidRPr="002C2916">
        <w:rPr>
          <w:b/>
          <w:bCs w:val="0"/>
        </w:rPr>
        <w:t xml:space="preserve"> </w:t>
      </w:r>
      <w:r w:rsidR="007D1C52">
        <w:rPr>
          <w:b/>
          <w:bCs w:val="0"/>
        </w:rPr>
        <w:t>A</w:t>
      </w:r>
      <w:r w:rsidR="008D14D9" w:rsidRPr="002C2916">
        <w:rPr>
          <w:b/>
          <w:bCs w:val="0"/>
        </w:rPr>
        <w:t>1015</w:t>
      </w:r>
      <w:proofErr w:type="gramStart"/>
      <w:r w:rsidR="008D14D9" w:rsidRPr="002C2916">
        <w:t>);</w:t>
      </w:r>
      <w:proofErr w:type="gramEnd"/>
      <w:r w:rsidR="007C4B4D" w:rsidRPr="002C2916">
        <w:t xml:space="preserve"> </w:t>
      </w:r>
    </w:p>
    <w:p w14:paraId="76CEE66C" w14:textId="1A9DF807" w:rsidR="00FF65F4" w:rsidRPr="00FF65F4" w:rsidRDefault="00B37D38" w:rsidP="0028218E">
      <w:pPr>
        <w:pStyle w:val="CDGBBullets-1stindent"/>
        <w:numPr>
          <w:ilvl w:val="0"/>
          <w:numId w:val="35"/>
        </w:numPr>
        <w:spacing w:line="240" w:lineRule="auto"/>
        <w:ind w:left="720"/>
      </w:pPr>
      <w:r>
        <w:rPr>
          <w:i/>
          <w:iCs/>
        </w:rPr>
        <w:t xml:space="preserve">Sample </w:t>
      </w:r>
      <w:r w:rsidR="008D14D9" w:rsidRPr="002C2916">
        <w:rPr>
          <w:i/>
          <w:iCs/>
        </w:rPr>
        <w:t>Excessive Force Policy</w:t>
      </w:r>
      <w:r w:rsidR="008D14D9" w:rsidRPr="002C2916">
        <w:t xml:space="preserve"> </w:t>
      </w:r>
      <w:r w:rsidR="008D14D9" w:rsidRPr="002C2916">
        <w:rPr>
          <w:b/>
          <w:bCs w:val="0"/>
        </w:rPr>
        <w:t>(Form A1003)</w:t>
      </w:r>
      <w:r w:rsidR="00FF65F4" w:rsidRPr="00FF65F4">
        <w:t>; and</w:t>
      </w:r>
    </w:p>
    <w:p w14:paraId="172103D9" w14:textId="4C5B72CD" w:rsidR="008D14D9" w:rsidRDefault="00B37D38" w:rsidP="0028218E">
      <w:pPr>
        <w:pStyle w:val="CDGBBullets-1stindent"/>
        <w:numPr>
          <w:ilvl w:val="0"/>
          <w:numId w:val="35"/>
        </w:numPr>
        <w:spacing w:line="240" w:lineRule="auto"/>
        <w:ind w:left="720"/>
      </w:pPr>
      <w:r>
        <w:rPr>
          <w:i/>
          <w:iCs/>
        </w:rPr>
        <w:t xml:space="preserve">Sample </w:t>
      </w:r>
      <w:r w:rsidR="00FF65F4" w:rsidRPr="00FF65F4">
        <w:rPr>
          <w:i/>
          <w:iCs/>
        </w:rPr>
        <w:t>Code of Conduct</w:t>
      </w:r>
      <w:r w:rsidR="00FF65F4" w:rsidRPr="00FF65F4">
        <w:t xml:space="preserve"> </w:t>
      </w:r>
      <w:r w:rsidR="00FF65F4">
        <w:rPr>
          <w:b/>
          <w:bCs w:val="0"/>
        </w:rPr>
        <w:t>(Form A1002)</w:t>
      </w:r>
      <w:r w:rsidR="008D14D9" w:rsidRPr="002865FD">
        <w:t>.</w:t>
      </w:r>
    </w:p>
    <w:p w14:paraId="05D6FEA3" w14:textId="77777777" w:rsidR="007C4B4D" w:rsidRDefault="007C4B4D" w:rsidP="00FD015E">
      <w:pPr>
        <w:pStyle w:val="CDGBBullets-1stindent"/>
        <w:numPr>
          <w:ilvl w:val="0"/>
          <w:numId w:val="0"/>
        </w:numPr>
        <w:spacing w:line="240" w:lineRule="auto"/>
        <w:ind w:left="720" w:hanging="360"/>
      </w:pPr>
    </w:p>
    <w:p w14:paraId="1D03BFE6" w14:textId="060E7DDF" w:rsidR="007C4B4D" w:rsidRDefault="007C4B4D" w:rsidP="00FD015E">
      <w:pPr>
        <w:pStyle w:val="CDGBBODYSTYLE"/>
        <w:spacing w:line="240" w:lineRule="auto"/>
        <w:jc w:val="left"/>
      </w:pPr>
      <w:r>
        <w:t xml:space="preserve">In addition, the resolution </w:t>
      </w:r>
      <w:r w:rsidR="00467799">
        <w:t>identifies</w:t>
      </w:r>
      <w:r>
        <w:t xml:space="preserve"> the</w:t>
      </w:r>
      <w:r w:rsidR="00467799">
        <w:t xml:space="preserve"> </w:t>
      </w:r>
      <w:r w:rsidR="00F70AAD">
        <w:t xml:space="preserve">Grant Recipient’s commitment to the </w:t>
      </w:r>
      <w:r w:rsidR="00467799">
        <w:t>following requirements</w:t>
      </w:r>
      <w:r>
        <w:t>:</w:t>
      </w:r>
    </w:p>
    <w:p w14:paraId="3A87BE65" w14:textId="09D2F152" w:rsidR="00467799" w:rsidRPr="002C2916" w:rsidRDefault="00467799" w:rsidP="0028218E">
      <w:pPr>
        <w:pStyle w:val="CDGBBullets-1stindent"/>
        <w:numPr>
          <w:ilvl w:val="0"/>
          <w:numId w:val="36"/>
        </w:numPr>
        <w:spacing w:line="240" w:lineRule="auto"/>
        <w:ind w:left="720"/>
      </w:pPr>
      <w:r w:rsidRPr="002C2916">
        <w:t xml:space="preserve">Section 3 </w:t>
      </w:r>
      <w:r w:rsidR="002C2916">
        <w:t>e</w:t>
      </w:r>
      <w:r w:rsidRPr="002C2916">
        <w:t xml:space="preserve">conomic </w:t>
      </w:r>
      <w:r w:rsidR="002C2916">
        <w:t>o</w:t>
      </w:r>
      <w:r w:rsidRPr="002C2916">
        <w:t>pportunity</w:t>
      </w:r>
      <w:r w:rsidR="000748A5">
        <w:t>,</w:t>
      </w:r>
      <w:r w:rsidRPr="002C2916">
        <w:t xml:space="preserve"> </w:t>
      </w:r>
    </w:p>
    <w:p w14:paraId="12338BEB" w14:textId="159B8E70" w:rsidR="007C4B4D" w:rsidRPr="002C2916" w:rsidRDefault="007C4B4D" w:rsidP="0028218E">
      <w:pPr>
        <w:pStyle w:val="CDGBBullets-1stindent"/>
        <w:numPr>
          <w:ilvl w:val="0"/>
          <w:numId w:val="36"/>
        </w:numPr>
        <w:spacing w:line="240" w:lineRule="auto"/>
        <w:ind w:left="720"/>
      </w:pPr>
      <w:r w:rsidRPr="002C2916">
        <w:t xml:space="preserve">Limited English </w:t>
      </w:r>
      <w:r w:rsidR="002C2916">
        <w:t>p</w:t>
      </w:r>
      <w:r w:rsidRPr="002C2916">
        <w:t>roficiency</w:t>
      </w:r>
      <w:r w:rsidR="000748A5">
        <w:t>,</w:t>
      </w:r>
      <w:r w:rsidRPr="002C2916">
        <w:t xml:space="preserve"> and</w:t>
      </w:r>
    </w:p>
    <w:p w14:paraId="41846506" w14:textId="149D7B79" w:rsidR="007C4B4D" w:rsidRPr="002C2916" w:rsidRDefault="00467799" w:rsidP="0028218E">
      <w:pPr>
        <w:pStyle w:val="CDGBBullets-1stindent"/>
        <w:numPr>
          <w:ilvl w:val="0"/>
          <w:numId w:val="36"/>
        </w:numPr>
        <w:spacing w:line="240" w:lineRule="auto"/>
        <w:ind w:left="720"/>
      </w:pPr>
      <w:r w:rsidRPr="002C2916">
        <w:t xml:space="preserve">Affirmatively </w:t>
      </w:r>
      <w:r w:rsidR="002C2916">
        <w:t>f</w:t>
      </w:r>
      <w:r w:rsidRPr="002C2916">
        <w:t xml:space="preserve">urthering </w:t>
      </w:r>
      <w:r w:rsidR="002C2916">
        <w:t>f</w:t>
      </w:r>
      <w:r w:rsidRPr="002C2916">
        <w:t xml:space="preserve">air </w:t>
      </w:r>
      <w:r w:rsidR="002C2916">
        <w:t>h</w:t>
      </w:r>
      <w:r w:rsidRPr="002C2916">
        <w:t>ousing activity.</w:t>
      </w:r>
    </w:p>
    <w:p w14:paraId="1375A3E5" w14:textId="0784C946" w:rsidR="00C73544" w:rsidRDefault="00C73544" w:rsidP="00FD015E">
      <w:pPr>
        <w:pStyle w:val="CDGBBullets-1stindent"/>
        <w:numPr>
          <w:ilvl w:val="0"/>
          <w:numId w:val="0"/>
        </w:numPr>
        <w:spacing w:line="240" w:lineRule="auto"/>
        <w:rPr>
          <w:shd w:val="clear" w:color="auto" w:fill="FFFFFF"/>
        </w:rPr>
      </w:pPr>
    </w:p>
    <w:p w14:paraId="7BD70EBB" w14:textId="1B21899B" w:rsidR="00DA5BC1" w:rsidRPr="00DA5BC1" w:rsidRDefault="00DA5BC1" w:rsidP="00FD015E">
      <w:pPr>
        <w:pStyle w:val="CDGBBODYSTYLE"/>
        <w:spacing w:line="240" w:lineRule="auto"/>
        <w:jc w:val="left"/>
      </w:pPr>
      <w:r>
        <w:t>The local resolution submitted for each TxCDBG grant must</w:t>
      </w:r>
      <w:r w:rsidRPr="00DA5BC1">
        <w:t>:</w:t>
      </w:r>
    </w:p>
    <w:p w14:paraId="045D092F" w14:textId="3399BFDC" w:rsidR="00DA5BC1" w:rsidRPr="00DA5BC1" w:rsidRDefault="00B37D38" w:rsidP="0028218E">
      <w:pPr>
        <w:pStyle w:val="CDGBBODYSTYLE"/>
        <w:numPr>
          <w:ilvl w:val="0"/>
          <w:numId w:val="4"/>
        </w:numPr>
        <w:spacing w:line="240" w:lineRule="auto"/>
        <w:jc w:val="left"/>
      </w:pPr>
      <w:r>
        <w:t>C</w:t>
      </w:r>
      <w:r w:rsidR="00DA5BC1" w:rsidRPr="00DA5BC1">
        <w:t xml:space="preserve">ontain language to adopt any civil rights requirements not currently in </w:t>
      </w:r>
      <w:proofErr w:type="gramStart"/>
      <w:r w:rsidR="00DA5BC1" w:rsidRPr="00DA5BC1">
        <w:t>effect;</w:t>
      </w:r>
      <w:proofErr w:type="gramEnd"/>
    </w:p>
    <w:p w14:paraId="0035FD43" w14:textId="2C621D76" w:rsidR="00DA5BC1" w:rsidRPr="00DA5BC1" w:rsidRDefault="00B37D38" w:rsidP="0028218E">
      <w:pPr>
        <w:pStyle w:val="CDGBBODYSTYLE"/>
        <w:numPr>
          <w:ilvl w:val="0"/>
          <w:numId w:val="4"/>
        </w:numPr>
        <w:spacing w:line="240" w:lineRule="auto"/>
        <w:jc w:val="left"/>
      </w:pPr>
      <w:r>
        <w:t>C</w:t>
      </w:r>
      <w:r w:rsidR="00DA5BC1" w:rsidRPr="00DA5BC1">
        <w:t xml:space="preserve">ontain language re-affirming </w:t>
      </w:r>
      <w:r w:rsidR="00DA5BC1">
        <w:t>each</w:t>
      </w:r>
      <w:r w:rsidR="00DA5BC1" w:rsidRPr="00DA5BC1">
        <w:t xml:space="preserve"> required civil rights polic</w:t>
      </w:r>
      <w:r w:rsidR="00DA5BC1">
        <w:t>y</w:t>
      </w:r>
      <w:r w:rsidR="00DA5BC1" w:rsidRPr="00DA5BC1">
        <w:t xml:space="preserve"> previously adopted remain</w:t>
      </w:r>
      <w:r w:rsidR="00DA5BC1">
        <w:t>s</w:t>
      </w:r>
      <w:r w:rsidR="00DA5BC1" w:rsidRPr="00DA5BC1">
        <w:t xml:space="preserve"> in effect</w:t>
      </w:r>
      <w:r w:rsidR="00DA5BC1">
        <w:t>;</w:t>
      </w:r>
      <w:r w:rsidR="00DA5BC1" w:rsidRPr="00DA5BC1">
        <w:t xml:space="preserve"> and</w:t>
      </w:r>
    </w:p>
    <w:p w14:paraId="324194C2" w14:textId="77B31C24" w:rsidR="00DA5BC1" w:rsidRPr="00DA5BC1" w:rsidRDefault="00B37D38" w:rsidP="0028218E">
      <w:pPr>
        <w:pStyle w:val="CDGBBODYSTYLE"/>
        <w:numPr>
          <w:ilvl w:val="0"/>
          <w:numId w:val="4"/>
        </w:numPr>
        <w:spacing w:line="240" w:lineRule="auto"/>
        <w:jc w:val="left"/>
      </w:pPr>
      <w:r>
        <w:t>B</w:t>
      </w:r>
      <w:r w:rsidR="00DA5BC1">
        <w:t xml:space="preserve">e </w:t>
      </w:r>
      <w:r w:rsidR="00DA5BC1" w:rsidRPr="00DA5BC1">
        <w:t>approved</w:t>
      </w:r>
      <w:r w:rsidR="00DA5BC1">
        <w:t xml:space="preserve"> by the local governing body </w:t>
      </w:r>
      <w:r w:rsidR="00DA5BC1" w:rsidRPr="00DA5BC1">
        <w:t xml:space="preserve">on or after the date the </w:t>
      </w:r>
      <w:r w:rsidR="00DA5BC1" w:rsidRPr="00C269CC">
        <w:rPr>
          <w:color w:val="000000" w:themeColor="text1"/>
        </w:rPr>
        <w:t>Request for Applications was released</w:t>
      </w:r>
      <w:r w:rsidR="00DA5BC1">
        <w:rPr>
          <w:color w:val="000000" w:themeColor="text1"/>
        </w:rPr>
        <w:t xml:space="preserve">, and </w:t>
      </w:r>
      <w:r w:rsidR="00DA5BC1" w:rsidRPr="00893EF9">
        <w:t xml:space="preserve">prior to submittal of the TDA-GO Group </w:t>
      </w:r>
      <w:proofErr w:type="gramStart"/>
      <w:r w:rsidR="00DA5BC1" w:rsidRPr="00893EF9">
        <w:t>A</w:t>
      </w:r>
      <w:proofErr w:type="gramEnd"/>
      <w:r w:rsidR="00DA5BC1" w:rsidRPr="00893EF9">
        <w:t xml:space="preserve"> </w:t>
      </w:r>
      <w:r w:rsidR="00B32B5C">
        <w:t>P</w:t>
      </w:r>
      <w:r w:rsidR="00DA5BC1" w:rsidRPr="00893EF9">
        <w:t xml:space="preserve">erformance </w:t>
      </w:r>
      <w:r w:rsidR="00B32B5C">
        <w:t>R</w:t>
      </w:r>
      <w:r w:rsidR="00DA5BC1" w:rsidRPr="00893EF9">
        <w:t>eport</w:t>
      </w:r>
      <w:r w:rsidR="00DA5BC1">
        <w:t>.</w:t>
      </w:r>
    </w:p>
    <w:p w14:paraId="18F4B0C5" w14:textId="0C542C5A" w:rsidR="00DA5BC1" w:rsidRPr="00DA5BC1" w:rsidRDefault="00B37D38" w:rsidP="0028218E">
      <w:pPr>
        <w:pStyle w:val="CDGBBODYSTYLE"/>
        <w:numPr>
          <w:ilvl w:val="0"/>
          <w:numId w:val="4"/>
        </w:numPr>
        <w:spacing w:line="240" w:lineRule="auto"/>
        <w:jc w:val="left"/>
      </w:pPr>
      <w:r w:rsidRPr="002865FD">
        <w:rPr>
          <w:shd w:val="clear" w:color="auto" w:fill="FFFFFF"/>
        </w:rPr>
        <w:t xml:space="preserve">See </w:t>
      </w:r>
      <w:r w:rsidRPr="002865FD">
        <w:rPr>
          <w:i/>
          <w:iCs/>
          <w:shd w:val="clear" w:color="auto" w:fill="FFFFFF"/>
        </w:rPr>
        <w:t>Sample Resolution Regarding Civil Rights</w:t>
      </w:r>
      <w:r w:rsidR="00DA5BC1">
        <w:rPr>
          <w:shd w:val="clear" w:color="auto" w:fill="FFFFFF"/>
        </w:rPr>
        <w:t xml:space="preserve"> </w:t>
      </w:r>
      <w:r w:rsidRPr="002865FD">
        <w:rPr>
          <w:b/>
          <w:bCs/>
          <w:shd w:val="clear" w:color="auto" w:fill="FFFFFF"/>
        </w:rPr>
        <w:t>(</w:t>
      </w:r>
      <w:r w:rsidR="00DA5BC1" w:rsidRPr="002C2916">
        <w:rPr>
          <w:b/>
          <w:bCs/>
          <w:shd w:val="clear" w:color="auto" w:fill="FFFFFF"/>
        </w:rPr>
        <w:t>Form A1014</w:t>
      </w:r>
      <w:r>
        <w:rPr>
          <w:b/>
          <w:bCs/>
          <w:shd w:val="clear" w:color="auto" w:fill="FFFFFF"/>
        </w:rPr>
        <w:t>)</w:t>
      </w:r>
      <w:r w:rsidR="00DA5BC1">
        <w:rPr>
          <w:shd w:val="clear" w:color="auto" w:fill="FFFFFF"/>
        </w:rPr>
        <w:t xml:space="preserve"> - p</w:t>
      </w:r>
      <w:r w:rsidR="00DA5BC1" w:rsidRPr="00DA5BC1">
        <w:t xml:space="preserve">lease </w:t>
      </w:r>
      <w:r w:rsidR="00DA5BC1">
        <w:t>revise</w:t>
      </w:r>
      <w:r w:rsidR="00DA5BC1" w:rsidRPr="00DA5BC1">
        <w:t xml:space="preserve"> the sample </w:t>
      </w:r>
      <w:r w:rsidR="00DA5BC1">
        <w:t>language to</w:t>
      </w:r>
      <w:r w:rsidR="00DA5BC1" w:rsidRPr="00DA5BC1">
        <w:t xml:space="preserve"> either "adopt" or "reaffirm" </w:t>
      </w:r>
      <w:r w:rsidR="00DA5BC1">
        <w:t xml:space="preserve">policies </w:t>
      </w:r>
      <w:r w:rsidR="00DA5BC1" w:rsidRPr="00DA5BC1">
        <w:t>as appropriate</w:t>
      </w:r>
      <w:r w:rsidR="00DA5BC1">
        <w:t>.</w:t>
      </w:r>
    </w:p>
    <w:p w14:paraId="0C2A4173" w14:textId="13C263B1" w:rsidR="00DA5BC1" w:rsidRDefault="00DA5BC1" w:rsidP="00FD015E">
      <w:pPr>
        <w:pStyle w:val="CDGBBullets-1stindent"/>
        <w:numPr>
          <w:ilvl w:val="0"/>
          <w:numId w:val="0"/>
        </w:numPr>
        <w:spacing w:line="240" w:lineRule="auto"/>
        <w:rPr>
          <w:shd w:val="clear" w:color="auto" w:fill="FFFFFF"/>
        </w:rPr>
      </w:pPr>
    </w:p>
    <w:p w14:paraId="46D5E9A8" w14:textId="77777777" w:rsidR="002865FD" w:rsidRPr="00707666" w:rsidRDefault="00A53DCC" w:rsidP="00FD015E">
      <w:pPr>
        <w:pStyle w:val="CDGBBODYSTYLE"/>
        <w:spacing w:line="240" w:lineRule="auto"/>
        <w:jc w:val="left"/>
      </w:pPr>
      <w:r w:rsidRPr="00707666">
        <w:t xml:space="preserve">For grants awarded on or after October 1, 2022, the Violence Against Women Act (VAWA) Policy must be adopted within 90 days of TDA’s release of </w:t>
      </w:r>
      <w:r w:rsidR="00DA0EB2" w:rsidRPr="00707666">
        <w:t xml:space="preserve">the </w:t>
      </w:r>
      <w:r w:rsidR="00DA0EB2" w:rsidRPr="00707666">
        <w:rPr>
          <w:i/>
          <w:iCs/>
        </w:rPr>
        <w:t>Sample VAWA Policy</w:t>
      </w:r>
      <w:r w:rsidR="00DA0EB2" w:rsidRPr="00707666">
        <w:t xml:space="preserve"> and a</w:t>
      </w:r>
      <w:r w:rsidRPr="00707666">
        <w:t xml:space="preserve"> </w:t>
      </w:r>
      <w:r w:rsidR="00DA0EB2" w:rsidRPr="00707666">
        <w:t>p</w:t>
      </w:r>
      <w:r w:rsidRPr="00707666">
        <w:t xml:space="preserve">olicy </w:t>
      </w:r>
      <w:r w:rsidR="00DA0EB2" w:rsidRPr="00707666">
        <w:t>i</w:t>
      </w:r>
      <w:r w:rsidRPr="00707666">
        <w:t xml:space="preserve">ssuance </w:t>
      </w:r>
      <w:r w:rsidR="00DA0EB2" w:rsidRPr="00707666">
        <w:t>providing guidance</w:t>
      </w:r>
      <w:r w:rsidRPr="00707666">
        <w:t xml:space="preserve">, or the date the </w:t>
      </w:r>
      <w:r w:rsidRPr="00707666">
        <w:rPr>
          <w:i/>
          <w:iCs/>
        </w:rPr>
        <w:t>Group A Performance Report</w:t>
      </w:r>
      <w:r w:rsidRPr="00707666">
        <w:t xml:space="preserve"> is submitted, whichever is later</w:t>
      </w:r>
      <w:r w:rsidR="00013691" w:rsidRPr="00707666">
        <w:t>, s</w:t>
      </w:r>
      <w:r w:rsidRPr="00707666">
        <w:t xml:space="preserve">ee </w:t>
      </w:r>
      <w:r w:rsidRPr="00707666">
        <w:rPr>
          <w:i/>
          <w:iCs/>
        </w:rPr>
        <w:t>Section 10.1.9</w:t>
      </w:r>
      <w:r w:rsidRPr="00707666">
        <w:t xml:space="preserve"> for additional information.</w:t>
      </w:r>
      <w:r w:rsidR="00A72657" w:rsidRPr="00707666">
        <w:t xml:space="preserve"> </w:t>
      </w:r>
    </w:p>
    <w:p w14:paraId="71C45CA4" w14:textId="77777777" w:rsidR="002865FD" w:rsidRPr="00707666" w:rsidRDefault="002865FD" w:rsidP="00FD015E">
      <w:pPr>
        <w:pStyle w:val="CDGBBODYSTYLE"/>
        <w:spacing w:line="240" w:lineRule="auto"/>
        <w:jc w:val="left"/>
      </w:pPr>
    </w:p>
    <w:p w14:paraId="7CCF1E37" w14:textId="675D0A52" w:rsidR="007C4B4D" w:rsidRDefault="007C4B4D" w:rsidP="00FD015E">
      <w:pPr>
        <w:pStyle w:val="CDGBBODYSTYLE"/>
        <w:spacing w:line="240" w:lineRule="auto"/>
        <w:jc w:val="left"/>
      </w:pPr>
      <w:r>
        <w:t xml:space="preserve">Copies of </w:t>
      </w:r>
      <w:r w:rsidR="00F70AAD">
        <w:t xml:space="preserve">the </w:t>
      </w:r>
      <w:r>
        <w:t>polic</w:t>
      </w:r>
      <w:r w:rsidR="00F70AAD">
        <w:t>ies</w:t>
      </w:r>
      <w:r>
        <w:t xml:space="preserve"> addressed by the resolution </w:t>
      </w:r>
      <w:r w:rsidR="00F70AAD">
        <w:t>must be provided.</w:t>
      </w:r>
      <w:r w:rsidR="000C50C1">
        <w:t xml:space="preserve"> </w:t>
      </w:r>
      <w:r w:rsidR="00F70AAD">
        <w:t xml:space="preserve">Upload the documents to the Grant Recipient’s </w:t>
      </w:r>
      <w:r w:rsidR="000C50C1">
        <w:t>p</w:t>
      </w:r>
      <w:r w:rsidR="00F70AAD">
        <w:t xml:space="preserve">rofile </w:t>
      </w:r>
      <w:r w:rsidR="00013691">
        <w:t xml:space="preserve">in TDA-GO </w:t>
      </w:r>
      <w:r w:rsidR="00F70AAD">
        <w:t>to avoid the need to resubmit these policies with each grant received.</w:t>
      </w:r>
      <w:r w:rsidR="00846C94">
        <w:t xml:space="preserve"> To upload, </w:t>
      </w:r>
      <w:r w:rsidR="000C50C1">
        <w:t>select</w:t>
      </w:r>
      <w:r w:rsidR="00846C94">
        <w:t xml:space="preserve"> your name, select </w:t>
      </w:r>
      <w:r w:rsidR="00846C94" w:rsidRPr="000C50C1">
        <w:rPr>
          <w:b/>
          <w:bCs/>
        </w:rPr>
        <w:t>Profile</w:t>
      </w:r>
      <w:r w:rsidR="00846C94">
        <w:t xml:space="preserve">, and navigate to the </w:t>
      </w:r>
      <w:r w:rsidR="00846C94" w:rsidRPr="002865FD">
        <w:rPr>
          <w:i/>
          <w:iCs/>
        </w:rPr>
        <w:t>Organization Details</w:t>
      </w:r>
      <w:r w:rsidR="00E36046">
        <w:rPr>
          <w:i/>
          <w:iCs/>
        </w:rPr>
        <w:t>-CDBG Forms</w:t>
      </w:r>
      <w:r w:rsidR="00846C94">
        <w:t xml:space="preserve"> page.</w:t>
      </w:r>
    </w:p>
    <w:p w14:paraId="2A8C8D1D" w14:textId="77777777" w:rsidR="00112F90" w:rsidRDefault="00112F90" w:rsidP="00FD015E"/>
    <w:p w14:paraId="1BF333B9" w14:textId="78182443" w:rsidR="00167A80" w:rsidRDefault="00167A80" w:rsidP="00FD015E">
      <w:pPr>
        <w:pStyle w:val="Heading2"/>
      </w:pPr>
      <w:bookmarkStart w:id="52" w:name="_Toc123116601"/>
      <w:bookmarkStart w:id="53" w:name="_Toc171791361"/>
      <w:r>
        <w:t>10.2.3 Public Notices</w:t>
      </w:r>
      <w:bookmarkEnd w:id="52"/>
      <w:bookmarkEnd w:id="53"/>
    </w:p>
    <w:p w14:paraId="355065EF" w14:textId="77777777" w:rsidR="00960D2A" w:rsidRDefault="00960D2A" w:rsidP="00FD015E">
      <w:pPr>
        <w:pStyle w:val="CDGBBullets-1stindent"/>
        <w:numPr>
          <w:ilvl w:val="0"/>
          <w:numId w:val="0"/>
        </w:numPr>
        <w:spacing w:line="240" w:lineRule="auto"/>
      </w:pPr>
    </w:p>
    <w:p w14:paraId="5AE45C84" w14:textId="513425CF" w:rsidR="0054424C" w:rsidRPr="00FB01FF" w:rsidRDefault="00F70AAD" w:rsidP="00FD015E">
      <w:pPr>
        <w:pStyle w:val="CDGBBODYSTYLE"/>
        <w:spacing w:line="240" w:lineRule="auto"/>
        <w:jc w:val="left"/>
        <w:rPr>
          <w:i/>
          <w:iCs/>
        </w:rPr>
      </w:pPr>
      <w:r>
        <w:t>T</w:t>
      </w:r>
      <w:r w:rsidR="0076768F" w:rsidRPr="007C4B4D">
        <w:t xml:space="preserve">he notices required by this chapter must be published and/or posted as required by </w:t>
      </w:r>
      <w:r w:rsidR="0076768F" w:rsidRPr="00FB01FF">
        <w:rPr>
          <w:i/>
          <w:iCs/>
        </w:rPr>
        <w:t xml:space="preserve">Chapter 1 Administrative Requirements. </w:t>
      </w:r>
    </w:p>
    <w:p w14:paraId="002B0620" w14:textId="77777777" w:rsidR="00F36FEB" w:rsidRDefault="00F36FEB" w:rsidP="00FD015E">
      <w:pPr>
        <w:pStyle w:val="CDGBBullets-1stindent"/>
        <w:numPr>
          <w:ilvl w:val="0"/>
          <w:numId w:val="0"/>
        </w:numPr>
        <w:spacing w:line="240" w:lineRule="auto"/>
      </w:pPr>
    </w:p>
    <w:p w14:paraId="0114E0FE" w14:textId="1489CFFC" w:rsidR="0076768F" w:rsidRDefault="0076768F" w:rsidP="00FD015E">
      <w:pPr>
        <w:pStyle w:val="CDGBBODYSTYLE"/>
        <w:spacing w:line="240" w:lineRule="auto"/>
        <w:jc w:val="left"/>
      </w:pPr>
      <w:r w:rsidRPr="00960D2A">
        <w:rPr>
          <w:b/>
          <w:bCs/>
        </w:rPr>
        <w:t>BEST</w:t>
      </w:r>
      <w:r w:rsidRPr="007C4B4D">
        <w:t xml:space="preserve"> </w:t>
      </w:r>
      <w:r w:rsidRPr="00960D2A">
        <w:rPr>
          <w:b/>
          <w:bCs/>
        </w:rPr>
        <w:t>PRACTICE</w:t>
      </w:r>
      <w:r w:rsidRPr="007C4B4D">
        <w:t xml:space="preserve">: Post the required notice to the Grant Recipient’s website, including full text (or links to full text) located on a page accessed regularly by </w:t>
      </w:r>
      <w:proofErr w:type="gramStart"/>
      <w:r w:rsidRPr="007C4B4D">
        <w:t>local residents</w:t>
      </w:r>
      <w:proofErr w:type="gramEnd"/>
      <w:r w:rsidRPr="007C4B4D">
        <w:t xml:space="preserve">. Posted notices should remain </w:t>
      </w:r>
      <w:r w:rsidR="0052660E" w:rsidRPr="007C4B4D">
        <w:t xml:space="preserve">available to the public throughout the life of the </w:t>
      </w:r>
      <w:r w:rsidR="00013691">
        <w:t>Grant Agreement</w:t>
      </w:r>
      <w:r w:rsidR="0052660E" w:rsidRPr="007C4B4D">
        <w:t xml:space="preserve">, and at a minimum must be posted for 60 days.  Screenshots of the webpage posting that clearly display the date and time of the image, along with </w:t>
      </w:r>
      <w:r w:rsidR="00586E2C" w:rsidRPr="007C4B4D">
        <w:t xml:space="preserve">a signed </w:t>
      </w:r>
      <w:r w:rsidR="0052660E" w:rsidRPr="00FB01FF">
        <w:rPr>
          <w:i/>
          <w:iCs/>
        </w:rPr>
        <w:t>Affidavit of Posting</w:t>
      </w:r>
      <w:r w:rsidR="0052660E" w:rsidRPr="007C4B4D">
        <w:t xml:space="preserve"> </w:t>
      </w:r>
      <w:r w:rsidR="00112F90" w:rsidRPr="00112F90">
        <w:t xml:space="preserve">- </w:t>
      </w:r>
      <w:r w:rsidR="00112F90" w:rsidRPr="002865FD">
        <w:rPr>
          <w:i/>
          <w:iCs/>
        </w:rPr>
        <w:t>Citizen Participation Public Hearing</w:t>
      </w:r>
      <w:r w:rsidR="00112F90" w:rsidRPr="00112F90">
        <w:t xml:space="preserve"> </w:t>
      </w:r>
      <w:r w:rsidR="0052660E" w:rsidRPr="00FB01FF">
        <w:rPr>
          <w:b/>
          <w:bCs/>
        </w:rPr>
        <w:t>(Form A10</w:t>
      </w:r>
      <w:r w:rsidR="00112F90">
        <w:rPr>
          <w:b/>
          <w:bCs/>
        </w:rPr>
        <w:t>1</w:t>
      </w:r>
      <w:r w:rsidR="0052660E" w:rsidRPr="00FB01FF">
        <w:rPr>
          <w:b/>
          <w:bCs/>
        </w:rPr>
        <w:t>),</w:t>
      </w:r>
      <w:r w:rsidR="0052660E" w:rsidRPr="007C4B4D">
        <w:t xml:space="preserve"> may be accepted as documentation of compliance.</w:t>
      </w:r>
    </w:p>
    <w:p w14:paraId="473914FF" w14:textId="77777777" w:rsidR="00960D2A" w:rsidRDefault="00960D2A" w:rsidP="00FD015E">
      <w:pPr>
        <w:pStyle w:val="CDGBBODYSTYLE"/>
        <w:spacing w:line="240" w:lineRule="auto"/>
        <w:jc w:val="left"/>
      </w:pPr>
    </w:p>
    <w:p w14:paraId="544C3D0F" w14:textId="4D43A99D" w:rsidR="00B74C73" w:rsidRPr="00E04036" w:rsidRDefault="00B74C73" w:rsidP="00FD015E">
      <w:pPr>
        <w:pStyle w:val="CDGBBODYSTYLE"/>
        <w:spacing w:line="240" w:lineRule="auto"/>
        <w:jc w:val="left"/>
      </w:pPr>
      <w:r w:rsidRPr="00E04036">
        <w:t xml:space="preserve">Newspaper notices </w:t>
      </w:r>
      <w:r w:rsidR="00E04036">
        <w:t>must be</w:t>
      </w:r>
      <w:r w:rsidRPr="00E04036">
        <w:t xml:space="preserve"> published </w:t>
      </w:r>
      <w:r w:rsidR="00E04036">
        <w:t xml:space="preserve">no more than two years prior to the </w:t>
      </w:r>
      <w:r w:rsidR="00013691">
        <w:t>Grant Agreement</w:t>
      </w:r>
      <w:r w:rsidR="00E04036">
        <w:t xml:space="preserve"> start date, and no later than the </w:t>
      </w:r>
      <w:r w:rsidR="00013691">
        <w:t>Grant Agreement</w:t>
      </w:r>
      <w:r w:rsidR="00E04036">
        <w:t xml:space="preserve"> end date. </w:t>
      </w:r>
      <w:r w:rsidRPr="00E04036">
        <w:t xml:space="preserve">This means that published notices could be used for multiple TxCDBG projects with </w:t>
      </w:r>
      <w:r w:rsidR="00E04036">
        <w:t>grant</w:t>
      </w:r>
      <w:r w:rsidRPr="00E04036">
        <w:t xml:space="preserve"> periods that occur consecutively</w:t>
      </w:r>
      <w:r w:rsidR="00E04036">
        <w:t>.</w:t>
      </w:r>
    </w:p>
    <w:p w14:paraId="11277C63" w14:textId="77777777" w:rsidR="0054424C" w:rsidRDefault="0054424C" w:rsidP="00FD015E"/>
    <w:p w14:paraId="32DBA0C2" w14:textId="6B5794D9" w:rsidR="0054424C" w:rsidRPr="00E06233" w:rsidRDefault="0054424C" w:rsidP="00056AA6">
      <w:pPr>
        <w:pStyle w:val="Heading1"/>
      </w:pPr>
      <w:bookmarkStart w:id="54" w:name="_Toc123116602"/>
      <w:bookmarkStart w:id="55" w:name="_Toc171791362"/>
      <w:r w:rsidRPr="009770B8">
        <w:t>10.</w:t>
      </w:r>
      <w:r w:rsidR="00167A80">
        <w:t>3</w:t>
      </w:r>
      <w:r w:rsidRPr="009770B8">
        <w:t xml:space="preserve"> Monitoring of Discrimination</w:t>
      </w:r>
      <w:bookmarkEnd w:id="54"/>
      <w:bookmarkEnd w:id="55"/>
    </w:p>
    <w:p w14:paraId="2EB2EE32" w14:textId="77777777" w:rsidR="0054424C" w:rsidRPr="0054424C" w:rsidRDefault="0054424C" w:rsidP="00FD015E">
      <w:pPr>
        <w:pStyle w:val="CDBGPARTA"/>
        <w:rPr>
          <w:sz w:val="22"/>
          <w:szCs w:val="22"/>
        </w:rPr>
      </w:pPr>
    </w:p>
    <w:p w14:paraId="2168C517" w14:textId="3D29782D" w:rsidR="0054424C" w:rsidRPr="00960D2A" w:rsidRDefault="00FB01FF" w:rsidP="00FD015E">
      <w:pPr>
        <w:pStyle w:val="CDGBBODYSTYLE"/>
        <w:spacing w:line="240" w:lineRule="auto"/>
        <w:jc w:val="left"/>
      </w:pPr>
      <w:r w:rsidRPr="00960D2A">
        <w:t>If</w:t>
      </w:r>
      <w:r w:rsidR="0054424C" w:rsidRPr="00960D2A">
        <w:t xml:space="preserve"> there has been a determination of discrimination against a Grant Recipient, the Grant Recipient must develop a plan that identifies the effects of past discrimination and specifies actions to overcome the identified effects. A determination of discrimination can be a result of</w:t>
      </w:r>
      <w:r w:rsidR="00112F90">
        <w:t>:</w:t>
      </w:r>
    </w:p>
    <w:p w14:paraId="4B5DBD6D" w14:textId="37CEC2CE" w:rsidR="0054424C" w:rsidRPr="00E06233" w:rsidRDefault="00112F90" w:rsidP="0028218E">
      <w:pPr>
        <w:pStyle w:val="CDGBBullets-1stindent"/>
        <w:numPr>
          <w:ilvl w:val="0"/>
          <w:numId w:val="37"/>
        </w:numPr>
        <w:spacing w:line="240" w:lineRule="auto"/>
        <w:ind w:left="720"/>
      </w:pPr>
      <w:r>
        <w:t>A</w:t>
      </w:r>
      <w:r w:rsidR="0054424C" w:rsidRPr="00E06233">
        <w:t xml:space="preserve"> compliance review conducted by HUD or by TDA.</w:t>
      </w:r>
    </w:p>
    <w:p w14:paraId="6638CFAB" w14:textId="1214195A" w:rsidR="0054424C" w:rsidRPr="00E06233" w:rsidRDefault="00112F90" w:rsidP="0028218E">
      <w:pPr>
        <w:pStyle w:val="CDGBBullets-1stindent"/>
        <w:numPr>
          <w:ilvl w:val="0"/>
          <w:numId w:val="37"/>
        </w:numPr>
        <w:spacing w:line="240" w:lineRule="auto"/>
        <w:ind w:left="720"/>
      </w:pPr>
      <w:r>
        <w:t>A</w:t>
      </w:r>
      <w:r w:rsidR="0054424C" w:rsidRPr="00E06233">
        <w:t xml:space="preserve"> discrimination complaint investigation carried out by the HUD Regional Fair Housing and Equal Opportunity Office (FHEO); or</w:t>
      </w:r>
    </w:p>
    <w:p w14:paraId="2C83C17E" w14:textId="281D543C" w:rsidR="0054424C" w:rsidRPr="00E06233" w:rsidRDefault="00112F90" w:rsidP="0028218E">
      <w:pPr>
        <w:pStyle w:val="CDGBBullets-1stindent"/>
        <w:numPr>
          <w:ilvl w:val="0"/>
          <w:numId w:val="37"/>
        </w:numPr>
        <w:spacing w:line="240" w:lineRule="auto"/>
        <w:ind w:left="720"/>
      </w:pPr>
      <w:r>
        <w:t>A</w:t>
      </w:r>
      <w:r w:rsidR="0054424C" w:rsidRPr="00E06233">
        <w:t>n employment discrimination complaint investigation conducted by the Equal Employment Opportunity Commission.</w:t>
      </w:r>
    </w:p>
    <w:p w14:paraId="55A2C79A" w14:textId="77777777" w:rsidR="0054424C" w:rsidRPr="00E06233" w:rsidRDefault="0054424C" w:rsidP="00FD015E">
      <w:pPr>
        <w:pStyle w:val="BodyText"/>
        <w:rPr>
          <w:sz w:val="22"/>
          <w:szCs w:val="22"/>
        </w:rPr>
      </w:pPr>
    </w:p>
    <w:p w14:paraId="3129490A" w14:textId="77777777" w:rsidR="00112F90" w:rsidRDefault="0054424C" w:rsidP="00FD015E">
      <w:pPr>
        <w:pStyle w:val="CDGBBODYSTYLE"/>
        <w:spacing w:line="240" w:lineRule="auto"/>
        <w:jc w:val="left"/>
      </w:pPr>
      <w:r w:rsidRPr="00960D2A">
        <w:t xml:space="preserve">TDA encourages the Grant Recipient to take affirmative action to address self-identified instances of possible discrimination that is indicative of past discrimination. </w:t>
      </w:r>
    </w:p>
    <w:p w14:paraId="137B7066" w14:textId="77777777" w:rsidR="00F36FEB" w:rsidRDefault="00F36FEB" w:rsidP="00FD015E">
      <w:pPr>
        <w:pStyle w:val="CDGBBODYSTYLE"/>
        <w:spacing w:line="240" w:lineRule="auto"/>
        <w:jc w:val="left"/>
        <w:rPr>
          <w:b/>
          <w:bCs/>
        </w:rPr>
      </w:pPr>
    </w:p>
    <w:p w14:paraId="60D04E10" w14:textId="52D01326" w:rsidR="0054424C" w:rsidRPr="00960D2A" w:rsidRDefault="00286881" w:rsidP="00FD015E">
      <w:pPr>
        <w:pStyle w:val="CDGBBODYSTYLE"/>
        <w:spacing w:line="240" w:lineRule="auto"/>
        <w:jc w:val="left"/>
      </w:pPr>
      <w:r w:rsidRPr="00286881">
        <w:rPr>
          <w:b/>
          <w:bCs/>
        </w:rPr>
        <w:t>EXAMPLE:</w:t>
      </w:r>
      <w:r w:rsidR="00FB01FF">
        <w:t xml:space="preserve"> </w:t>
      </w:r>
      <w:r>
        <w:t>I</w:t>
      </w:r>
      <w:r w:rsidR="0054424C" w:rsidRPr="00960D2A">
        <w:t>f Grant Recipient employment is not representative of the general population of the jurisdiction, Grant Recipients are encouraged to design a program to affirmatively increase employment, training, and promotion opportunities for members of the affected groups.</w:t>
      </w:r>
    </w:p>
    <w:p w14:paraId="5574CFDD" w14:textId="77777777" w:rsidR="00F36FEB" w:rsidRPr="00E06233" w:rsidRDefault="00F36FEB" w:rsidP="00FD015E">
      <w:pPr>
        <w:pStyle w:val="BodyText"/>
        <w:rPr>
          <w:sz w:val="22"/>
          <w:szCs w:val="22"/>
        </w:rPr>
      </w:pPr>
    </w:p>
    <w:p w14:paraId="345200A4" w14:textId="0DB615BB" w:rsidR="0054424C" w:rsidRPr="00C26E0B" w:rsidRDefault="0054424C" w:rsidP="00FD015E">
      <w:pPr>
        <w:pStyle w:val="CDGBBODYSTYLE"/>
        <w:spacing w:line="240" w:lineRule="auto"/>
        <w:jc w:val="left"/>
      </w:pPr>
      <w:r w:rsidRPr="00960D2A">
        <w:rPr>
          <w:b/>
          <w:bCs/>
        </w:rPr>
        <w:t>NOTE</w:t>
      </w:r>
      <w:r w:rsidRPr="00E06233">
        <w:t>:</w:t>
      </w:r>
      <w:r w:rsidR="00FB01FF">
        <w:t xml:space="preserve"> </w:t>
      </w:r>
      <w:r w:rsidRPr="00E06233">
        <w:t xml:space="preserve">Complaints of employment discrimination should be referred to the Texas Workforce Commission, Civil Rights Division. See </w:t>
      </w:r>
      <w:r w:rsidRPr="00707666">
        <w:t>Appendix A</w:t>
      </w:r>
      <w:r w:rsidRPr="00E06233">
        <w:t xml:space="preserve"> for link to Equal Employment Opportunity Commission</w:t>
      </w:r>
      <w:r w:rsidR="002849EA" w:rsidRPr="00056AA6">
        <w:rPr>
          <w:rStyle w:val="Hyperlink"/>
          <w:rFonts w:cs="Arial"/>
          <w:bCs/>
          <w:u w:val="none"/>
        </w:rPr>
        <w:t>.</w:t>
      </w:r>
    </w:p>
    <w:p w14:paraId="07C73A3A" w14:textId="453B821F" w:rsidR="003E28A8" w:rsidRDefault="003E28A8">
      <w:pPr>
        <w:spacing w:after="160" w:line="259" w:lineRule="auto"/>
        <w:rPr>
          <w:rFonts w:eastAsiaTheme="majorEastAsia" w:cstheme="majorBidi"/>
          <w:b/>
          <w:sz w:val="28"/>
          <w:szCs w:val="26"/>
          <w:u w:val="single"/>
        </w:rPr>
      </w:pPr>
      <w:bookmarkStart w:id="56" w:name="_Toc123116619"/>
    </w:p>
    <w:p w14:paraId="70413AB6" w14:textId="07634E80" w:rsidR="00FD015E" w:rsidRDefault="00FD015E" w:rsidP="00FD015E">
      <w:pPr>
        <w:pStyle w:val="Heading2"/>
      </w:pPr>
      <w:bookmarkStart w:id="57" w:name="_Toc171791363"/>
      <w:r>
        <w:t>Resources</w:t>
      </w:r>
      <w:bookmarkEnd w:id="56"/>
      <w:bookmarkEnd w:id="57"/>
    </w:p>
    <w:p w14:paraId="11764777" w14:textId="77777777" w:rsidR="00FD015E" w:rsidRDefault="00FD015E" w:rsidP="00FD015E"/>
    <w:tbl>
      <w:tblPr>
        <w:tblStyle w:val="TableGrid"/>
        <w:tblW w:w="0" w:type="auto"/>
        <w:tblLayout w:type="fixed"/>
        <w:tblLook w:val="04A0" w:firstRow="1" w:lastRow="0" w:firstColumn="1" w:lastColumn="0" w:noHBand="0" w:noVBand="1"/>
      </w:tblPr>
      <w:tblGrid>
        <w:gridCol w:w="1525"/>
        <w:gridCol w:w="3060"/>
        <w:gridCol w:w="5341"/>
      </w:tblGrid>
      <w:tr w:rsidR="00FD015E" w:rsidRPr="000F5CD7" w14:paraId="15F6C9A4" w14:textId="77777777" w:rsidTr="00D759A4">
        <w:tc>
          <w:tcPr>
            <w:tcW w:w="1525" w:type="dxa"/>
            <w:tcBorders>
              <w:top w:val="single" w:sz="4" w:space="0" w:color="auto"/>
              <w:left w:val="single" w:sz="4" w:space="0" w:color="auto"/>
              <w:bottom w:val="single" w:sz="4" w:space="0" w:color="auto"/>
              <w:right w:val="single" w:sz="4" w:space="0" w:color="auto"/>
            </w:tcBorders>
            <w:hideMark/>
          </w:tcPr>
          <w:p w14:paraId="01A050B7" w14:textId="77777777" w:rsidR="00FD015E" w:rsidRPr="000F5CD7" w:rsidRDefault="00FD015E" w:rsidP="00F74A6B">
            <w:pPr>
              <w:pStyle w:val="1BODY-Arial11"/>
            </w:pPr>
            <w:r w:rsidRPr="000F5CD7">
              <w:t>Resource Number</w:t>
            </w:r>
          </w:p>
        </w:tc>
        <w:tc>
          <w:tcPr>
            <w:tcW w:w="3060" w:type="dxa"/>
            <w:tcBorders>
              <w:top w:val="single" w:sz="4" w:space="0" w:color="auto"/>
              <w:left w:val="single" w:sz="4" w:space="0" w:color="auto"/>
              <w:bottom w:val="single" w:sz="4" w:space="0" w:color="auto"/>
              <w:right w:val="single" w:sz="4" w:space="0" w:color="auto"/>
            </w:tcBorders>
            <w:hideMark/>
          </w:tcPr>
          <w:p w14:paraId="7E451D98" w14:textId="77777777" w:rsidR="00FD015E" w:rsidRPr="000F5CD7" w:rsidRDefault="00FD015E" w:rsidP="00F74A6B">
            <w:pPr>
              <w:pStyle w:val="1BODY-Arial11"/>
            </w:pPr>
            <w:r w:rsidRPr="000F5CD7">
              <w:t>Description</w:t>
            </w:r>
          </w:p>
        </w:tc>
        <w:tc>
          <w:tcPr>
            <w:tcW w:w="5341" w:type="dxa"/>
            <w:tcBorders>
              <w:top w:val="single" w:sz="4" w:space="0" w:color="auto"/>
              <w:left w:val="single" w:sz="4" w:space="0" w:color="auto"/>
              <w:bottom w:val="single" w:sz="4" w:space="0" w:color="auto"/>
              <w:right w:val="single" w:sz="4" w:space="0" w:color="auto"/>
            </w:tcBorders>
            <w:hideMark/>
          </w:tcPr>
          <w:p w14:paraId="3C8D5B5D" w14:textId="77777777" w:rsidR="00FD015E" w:rsidRPr="000F5CD7" w:rsidRDefault="00FD015E" w:rsidP="00F74A6B">
            <w:pPr>
              <w:pStyle w:val="1BODY-Arial11"/>
            </w:pPr>
            <w:r w:rsidRPr="000F5CD7">
              <w:t>URL</w:t>
            </w:r>
          </w:p>
        </w:tc>
      </w:tr>
      <w:tr w:rsidR="00FD015E" w:rsidRPr="000F5CD7" w14:paraId="165B4787" w14:textId="77777777" w:rsidTr="00D759A4">
        <w:tc>
          <w:tcPr>
            <w:tcW w:w="1525" w:type="dxa"/>
            <w:tcBorders>
              <w:top w:val="single" w:sz="4" w:space="0" w:color="auto"/>
              <w:left w:val="single" w:sz="4" w:space="0" w:color="auto"/>
              <w:bottom w:val="single" w:sz="4" w:space="0" w:color="auto"/>
              <w:right w:val="single" w:sz="4" w:space="0" w:color="auto"/>
            </w:tcBorders>
          </w:tcPr>
          <w:p w14:paraId="37A25DAA" w14:textId="77777777" w:rsidR="00FD015E" w:rsidRPr="000F5CD7" w:rsidRDefault="00FD015E" w:rsidP="00F74A6B">
            <w:pPr>
              <w:pStyle w:val="1BODY-Arial11"/>
            </w:pPr>
          </w:p>
        </w:tc>
        <w:tc>
          <w:tcPr>
            <w:tcW w:w="3060" w:type="dxa"/>
            <w:tcBorders>
              <w:top w:val="single" w:sz="4" w:space="0" w:color="auto"/>
              <w:left w:val="single" w:sz="4" w:space="0" w:color="auto"/>
              <w:bottom w:val="single" w:sz="4" w:space="0" w:color="auto"/>
              <w:right w:val="single" w:sz="4" w:space="0" w:color="auto"/>
            </w:tcBorders>
          </w:tcPr>
          <w:p w14:paraId="6AF0085D" w14:textId="77777777" w:rsidR="00FD015E" w:rsidRPr="000F5CD7" w:rsidRDefault="00FD015E" w:rsidP="00F74A6B">
            <w:pPr>
              <w:pStyle w:val="1BODY-Arial11"/>
            </w:pPr>
            <w:r w:rsidRPr="000F5CD7">
              <w:t>HUD Fair Housing website</w:t>
            </w:r>
          </w:p>
        </w:tc>
        <w:tc>
          <w:tcPr>
            <w:tcW w:w="5341" w:type="dxa"/>
            <w:tcBorders>
              <w:top w:val="single" w:sz="4" w:space="0" w:color="auto"/>
              <w:left w:val="single" w:sz="4" w:space="0" w:color="auto"/>
              <w:bottom w:val="single" w:sz="4" w:space="0" w:color="auto"/>
              <w:right w:val="single" w:sz="4" w:space="0" w:color="auto"/>
            </w:tcBorders>
          </w:tcPr>
          <w:p w14:paraId="157DCE2D" w14:textId="77777777" w:rsidR="00FD015E" w:rsidRPr="000F5CD7" w:rsidRDefault="00000000" w:rsidP="00F74A6B">
            <w:pPr>
              <w:pStyle w:val="1BODY-Arial11"/>
              <w:rPr>
                <w:sz w:val="20"/>
                <w:szCs w:val="20"/>
              </w:rPr>
            </w:pPr>
            <w:hyperlink r:id="rId23" w:history="1">
              <w:r w:rsidR="00FD015E" w:rsidRPr="000F5CD7">
                <w:rPr>
                  <w:rStyle w:val="Hyperlink"/>
                  <w:rFonts w:cs="Arial"/>
                  <w:sz w:val="20"/>
                  <w:szCs w:val="20"/>
                </w:rPr>
                <w:t>https://www.hud.gov/program_offices/fair_housing_equal_opp</w:t>
              </w:r>
            </w:hyperlink>
          </w:p>
        </w:tc>
      </w:tr>
      <w:tr w:rsidR="00FD015E" w:rsidRPr="000F5CD7" w14:paraId="2C1C797C" w14:textId="77777777" w:rsidTr="00D759A4">
        <w:tc>
          <w:tcPr>
            <w:tcW w:w="1525" w:type="dxa"/>
            <w:tcBorders>
              <w:top w:val="single" w:sz="4" w:space="0" w:color="auto"/>
              <w:left w:val="single" w:sz="4" w:space="0" w:color="auto"/>
              <w:bottom w:val="single" w:sz="4" w:space="0" w:color="auto"/>
              <w:right w:val="single" w:sz="4" w:space="0" w:color="auto"/>
            </w:tcBorders>
          </w:tcPr>
          <w:p w14:paraId="46D3BBD7" w14:textId="77777777" w:rsidR="00FD015E" w:rsidRPr="000F5CD7" w:rsidRDefault="00FD015E" w:rsidP="00F74A6B">
            <w:pPr>
              <w:pStyle w:val="1BODY-Arial11"/>
            </w:pPr>
            <w:r w:rsidRPr="000F5CD7">
              <w:t>A101</w:t>
            </w:r>
          </w:p>
        </w:tc>
        <w:tc>
          <w:tcPr>
            <w:tcW w:w="3060" w:type="dxa"/>
            <w:tcBorders>
              <w:top w:val="single" w:sz="4" w:space="0" w:color="auto"/>
              <w:left w:val="single" w:sz="4" w:space="0" w:color="auto"/>
              <w:bottom w:val="single" w:sz="4" w:space="0" w:color="auto"/>
              <w:right w:val="single" w:sz="4" w:space="0" w:color="auto"/>
            </w:tcBorders>
          </w:tcPr>
          <w:p w14:paraId="43DA10FB" w14:textId="77777777" w:rsidR="00FD015E" w:rsidRPr="000F5CD7" w:rsidRDefault="00FD015E" w:rsidP="00F74A6B">
            <w:pPr>
              <w:pStyle w:val="1BODY-Arial11"/>
            </w:pPr>
            <w:r w:rsidRPr="000F5CD7">
              <w:t xml:space="preserve">Affidavit of Posting – Citizen Participation Public Hearing </w:t>
            </w:r>
          </w:p>
        </w:tc>
        <w:tc>
          <w:tcPr>
            <w:tcW w:w="5341" w:type="dxa"/>
            <w:tcBorders>
              <w:top w:val="single" w:sz="4" w:space="0" w:color="auto"/>
              <w:left w:val="single" w:sz="4" w:space="0" w:color="auto"/>
              <w:bottom w:val="single" w:sz="4" w:space="0" w:color="auto"/>
              <w:right w:val="single" w:sz="4" w:space="0" w:color="auto"/>
            </w:tcBorders>
          </w:tcPr>
          <w:p w14:paraId="1FCA39EA" w14:textId="76F67BF2" w:rsidR="00FD015E" w:rsidRPr="000F5CD7" w:rsidRDefault="00000000" w:rsidP="00F74A6B">
            <w:pPr>
              <w:pStyle w:val="1BODY-Arial11"/>
              <w:rPr>
                <w:sz w:val="20"/>
                <w:szCs w:val="20"/>
              </w:rPr>
            </w:pPr>
            <w:hyperlink r:id="rId24" w:history="1">
              <w:r w:rsidR="00FD015E" w:rsidRPr="000F5CD7">
                <w:rPr>
                  <w:rStyle w:val="Hyperlink"/>
                  <w:rFonts w:cs="Arial"/>
                  <w:sz w:val="20"/>
                  <w:szCs w:val="20"/>
                </w:rPr>
                <w:t>TDA Forms page</w:t>
              </w:r>
            </w:hyperlink>
          </w:p>
        </w:tc>
      </w:tr>
      <w:tr w:rsidR="00FD015E" w:rsidRPr="000F5CD7" w14:paraId="25F460EF" w14:textId="77777777" w:rsidTr="00D759A4">
        <w:tc>
          <w:tcPr>
            <w:tcW w:w="1525" w:type="dxa"/>
            <w:tcBorders>
              <w:top w:val="single" w:sz="4" w:space="0" w:color="auto"/>
              <w:left w:val="single" w:sz="4" w:space="0" w:color="auto"/>
              <w:bottom w:val="single" w:sz="4" w:space="0" w:color="auto"/>
              <w:right w:val="single" w:sz="4" w:space="0" w:color="auto"/>
            </w:tcBorders>
          </w:tcPr>
          <w:p w14:paraId="5B6D5BB8" w14:textId="77777777" w:rsidR="00FD015E" w:rsidRPr="000F5CD7" w:rsidRDefault="00FD015E" w:rsidP="00F74A6B">
            <w:pPr>
              <w:pStyle w:val="1BODY-Arial11"/>
            </w:pPr>
            <w:r w:rsidRPr="000F5CD7">
              <w:t xml:space="preserve">A1002 </w:t>
            </w:r>
          </w:p>
        </w:tc>
        <w:tc>
          <w:tcPr>
            <w:tcW w:w="3060" w:type="dxa"/>
            <w:tcBorders>
              <w:top w:val="single" w:sz="4" w:space="0" w:color="auto"/>
              <w:left w:val="single" w:sz="4" w:space="0" w:color="auto"/>
              <w:bottom w:val="single" w:sz="4" w:space="0" w:color="auto"/>
              <w:right w:val="single" w:sz="4" w:space="0" w:color="auto"/>
            </w:tcBorders>
          </w:tcPr>
          <w:p w14:paraId="0D647B3D" w14:textId="77777777" w:rsidR="00FD015E" w:rsidRPr="000F5CD7" w:rsidRDefault="00FD015E" w:rsidP="00F74A6B">
            <w:pPr>
              <w:pStyle w:val="1BODY-Arial11"/>
            </w:pPr>
            <w:r w:rsidRPr="000F5CD7">
              <w:t>Sample Code of Conduct</w:t>
            </w:r>
          </w:p>
        </w:tc>
        <w:tc>
          <w:tcPr>
            <w:tcW w:w="5341" w:type="dxa"/>
            <w:tcBorders>
              <w:top w:val="single" w:sz="4" w:space="0" w:color="auto"/>
              <w:left w:val="single" w:sz="4" w:space="0" w:color="auto"/>
              <w:bottom w:val="single" w:sz="4" w:space="0" w:color="auto"/>
              <w:right w:val="single" w:sz="4" w:space="0" w:color="auto"/>
            </w:tcBorders>
          </w:tcPr>
          <w:p w14:paraId="62D87B05" w14:textId="026F94A9" w:rsidR="00FD015E" w:rsidRPr="000F5CD7" w:rsidRDefault="00000000" w:rsidP="00F74A6B">
            <w:pPr>
              <w:pStyle w:val="1BODY-Arial11"/>
              <w:rPr>
                <w:sz w:val="20"/>
                <w:szCs w:val="20"/>
              </w:rPr>
            </w:pPr>
            <w:hyperlink r:id="rId25" w:history="1">
              <w:r w:rsidR="00FD015E" w:rsidRPr="000F5CD7">
                <w:rPr>
                  <w:rStyle w:val="Hyperlink"/>
                  <w:rFonts w:cs="Arial"/>
                  <w:sz w:val="20"/>
                  <w:szCs w:val="20"/>
                </w:rPr>
                <w:t>TDA Forms page</w:t>
              </w:r>
            </w:hyperlink>
          </w:p>
        </w:tc>
      </w:tr>
      <w:tr w:rsidR="00FD015E" w:rsidRPr="000F5CD7" w14:paraId="728FCB68" w14:textId="77777777" w:rsidTr="00D759A4">
        <w:tc>
          <w:tcPr>
            <w:tcW w:w="1525" w:type="dxa"/>
            <w:tcBorders>
              <w:top w:val="single" w:sz="4" w:space="0" w:color="auto"/>
              <w:left w:val="single" w:sz="4" w:space="0" w:color="auto"/>
              <w:bottom w:val="single" w:sz="4" w:space="0" w:color="auto"/>
              <w:right w:val="single" w:sz="4" w:space="0" w:color="auto"/>
            </w:tcBorders>
          </w:tcPr>
          <w:p w14:paraId="2B377CCE" w14:textId="77777777" w:rsidR="00FD015E" w:rsidRPr="000F5CD7" w:rsidRDefault="00FD015E" w:rsidP="00F74A6B">
            <w:pPr>
              <w:pStyle w:val="1BODY-Arial11"/>
            </w:pPr>
            <w:r w:rsidRPr="000F5CD7">
              <w:t xml:space="preserve">A1003 </w:t>
            </w:r>
          </w:p>
        </w:tc>
        <w:tc>
          <w:tcPr>
            <w:tcW w:w="3060" w:type="dxa"/>
            <w:tcBorders>
              <w:top w:val="single" w:sz="4" w:space="0" w:color="auto"/>
              <w:left w:val="single" w:sz="4" w:space="0" w:color="auto"/>
              <w:bottom w:val="single" w:sz="4" w:space="0" w:color="auto"/>
              <w:right w:val="single" w:sz="4" w:space="0" w:color="auto"/>
            </w:tcBorders>
          </w:tcPr>
          <w:p w14:paraId="0ABBA55C" w14:textId="77777777" w:rsidR="00FD015E" w:rsidRPr="000F5CD7" w:rsidRDefault="00FD015E" w:rsidP="00F74A6B">
            <w:pPr>
              <w:pStyle w:val="1BODY-Arial11"/>
            </w:pPr>
            <w:r w:rsidRPr="000F5CD7">
              <w:t xml:space="preserve">Sample Excessive Force Policy </w:t>
            </w:r>
          </w:p>
        </w:tc>
        <w:tc>
          <w:tcPr>
            <w:tcW w:w="5341" w:type="dxa"/>
            <w:tcBorders>
              <w:top w:val="single" w:sz="4" w:space="0" w:color="auto"/>
              <w:left w:val="single" w:sz="4" w:space="0" w:color="auto"/>
              <w:bottom w:val="single" w:sz="4" w:space="0" w:color="auto"/>
              <w:right w:val="single" w:sz="4" w:space="0" w:color="auto"/>
            </w:tcBorders>
          </w:tcPr>
          <w:p w14:paraId="5BC36894" w14:textId="5099B784" w:rsidR="00FD015E" w:rsidRPr="000F5CD7" w:rsidRDefault="00000000" w:rsidP="00F74A6B">
            <w:pPr>
              <w:pStyle w:val="1BODY-Arial11"/>
              <w:rPr>
                <w:sz w:val="20"/>
                <w:szCs w:val="20"/>
              </w:rPr>
            </w:pPr>
            <w:hyperlink r:id="rId26" w:history="1">
              <w:r w:rsidR="00FD015E" w:rsidRPr="000F5CD7">
                <w:rPr>
                  <w:rStyle w:val="Hyperlink"/>
                  <w:rFonts w:cs="Arial"/>
                  <w:sz w:val="20"/>
                  <w:szCs w:val="20"/>
                </w:rPr>
                <w:t>TDA Forms page</w:t>
              </w:r>
            </w:hyperlink>
          </w:p>
        </w:tc>
      </w:tr>
      <w:tr w:rsidR="00FD015E" w:rsidRPr="000F5CD7" w14:paraId="2F88F926" w14:textId="77777777" w:rsidTr="00D759A4">
        <w:tc>
          <w:tcPr>
            <w:tcW w:w="1525" w:type="dxa"/>
            <w:tcBorders>
              <w:top w:val="single" w:sz="4" w:space="0" w:color="auto"/>
              <w:left w:val="single" w:sz="4" w:space="0" w:color="auto"/>
              <w:bottom w:val="single" w:sz="4" w:space="0" w:color="auto"/>
              <w:right w:val="single" w:sz="4" w:space="0" w:color="auto"/>
            </w:tcBorders>
          </w:tcPr>
          <w:p w14:paraId="117B463A" w14:textId="77777777" w:rsidR="00FD015E" w:rsidRPr="000F5CD7" w:rsidRDefault="00FD015E" w:rsidP="00F74A6B">
            <w:pPr>
              <w:pStyle w:val="1BODY-Arial11"/>
            </w:pPr>
            <w:r w:rsidRPr="000F5CD7">
              <w:t xml:space="preserve">A1004 </w:t>
            </w:r>
          </w:p>
          <w:p w14:paraId="4141D2D9" w14:textId="77777777" w:rsidR="00FD015E" w:rsidRPr="000F5CD7" w:rsidRDefault="00FD015E" w:rsidP="00FD015E">
            <w:pPr>
              <w:rPr>
                <w:rFonts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5429604" w14:textId="77777777" w:rsidR="00FD015E" w:rsidRPr="000F5CD7" w:rsidRDefault="00FD015E" w:rsidP="00F74A6B">
            <w:pPr>
              <w:pStyle w:val="1BODY-Arial11"/>
            </w:pPr>
            <w:r w:rsidRPr="000F5CD7">
              <w:t xml:space="preserve">Sample Section 504 Policy Against Discrimination </w:t>
            </w:r>
          </w:p>
        </w:tc>
        <w:tc>
          <w:tcPr>
            <w:tcW w:w="5341" w:type="dxa"/>
            <w:tcBorders>
              <w:top w:val="single" w:sz="4" w:space="0" w:color="auto"/>
              <w:left w:val="single" w:sz="4" w:space="0" w:color="auto"/>
              <w:bottom w:val="single" w:sz="4" w:space="0" w:color="auto"/>
              <w:right w:val="single" w:sz="4" w:space="0" w:color="auto"/>
            </w:tcBorders>
          </w:tcPr>
          <w:p w14:paraId="3681E05C" w14:textId="1CF0BB53" w:rsidR="00FD015E" w:rsidRPr="000F5CD7" w:rsidRDefault="00000000" w:rsidP="00F74A6B">
            <w:pPr>
              <w:pStyle w:val="1BODY-Arial11"/>
              <w:rPr>
                <w:sz w:val="20"/>
                <w:szCs w:val="20"/>
              </w:rPr>
            </w:pPr>
            <w:hyperlink r:id="rId27" w:history="1">
              <w:r w:rsidR="00FD015E" w:rsidRPr="000F5CD7">
                <w:rPr>
                  <w:rStyle w:val="Hyperlink"/>
                  <w:rFonts w:cs="Arial"/>
                  <w:sz w:val="20"/>
                  <w:szCs w:val="20"/>
                </w:rPr>
                <w:t>TDA Forms page</w:t>
              </w:r>
            </w:hyperlink>
          </w:p>
        </w:tc>
      </w:tr>
      <w:tr w:rsidR="00FD015E" w:rsidRPr="000F5CD7" w14:paraId="628E5A95" w14:textId="77777777" w:rsidTr="00D759A4">
        <w:tc>
          <w:tcPr>
            <w:tcW w:w="1525" w:type="dxa"/>
            <w:tcBorders>
              <w:top w:val="single" w:sz="4" w:space="0" w:color="auto"/>
              <w:left w:val="single" w:sz="4" w:space="0" w:color="auto"/>
              <w:bottom w:val="single" w:sz="4" w:space="0" w:color="auto"/>
              <w:right w:val="single" w:sz="4" w:space="0" w:color="auto"/>
            </w:tcBorders>
          </w:tcPr>
          <w:p w14:paraId="34CAE479" w14:textId="77777777" w:rsidR="00FD015E" w:rsidRPr="000F5CD7" w:rsidRDefault="00FD015E" w:rsidP="00F74A6B">
            <w:pPr>
              <w:pStyle w:val="1BODY-Arial11"/>
            </w:pPr>
            <w:r w:rsidRPr="000F5CD7">
              <w:t xml:space="preserve">A1006 </w:t>
            </w:r>
          </w:p>
        </w:tc>
        <w:tc>
          <w:tcPr>
            <w:tcW w:w="3060" w:type="dxa"/>
            <w:tcBorders>
              <w:top w:val="single" w:sz="4" w:space="0" w:color="auto"/>
              <w:left w:val="single" w:sz="4" w:space="0" w:color="auto"/>
              <w:bottom w:val="single" w:sz="4" w:space="0" w:color="auto"/>
              <w:right w:val="single" w:sz="4" w:space="0" w:color="auto"/>
            </w:tcBorders>
          </w:tcPr>
          <w:p w14:paraId="66ABBC3D" w14:textId="77777777" w:rsidR="00FD015E" w:rsidRPr="000F5CD7" w:rsidRDefault="00FD015E" w:rsidP="00F74A6B">
            <w:pPr>
              <w:pStyle w:val="1BODY-Arial11"/>
            </w:pPr>
            <w:r w:rsidRPr="000F5CD7">
              <w:t xml:space="preserve">Section 504 Self-Evaluation Form </w:t>
            </w:r>
          </w:p>
        </w:tc>
        <w:tc>
          <w:tcPr>
            <w:tcW w:w="5341" w:type="dxa"/>
            <w:tcBorders>
              <w:top w:val="single" w:sz="4" w:space="0" w:color="auto"/>
              <w:left w:val="single" w:sz="4" w:space="0" w:color="auto"/>
              <w:bottom w:val="single" w:sz="4" w:space="0" w:color="auto"/>
              <w:right w:val="single" w:sz="4" w:space="0" w:color="auto"/>
            </w:tcBorders>
          </w:tcPr>
          <w:p w14:paraId="65615889" w14:textId="282589AB" w:rsidR="00FD015E" w:rsidRPr="000F5CD7" w:rsidRDefault="00000000" w:rsidP="00F74A6B">
            <w:pPr>
              <w:pStyle w:val="1BODY-Arial11"/>
              <w:rPr>
                <w:sz w:val="20"/>
                <w:szCs w:val="20"/>
              </w:rPr>
            </w:pPr>
            <w:hyperlink r:id="rId28" w:history="1">
              <w:r w:rsidR="00FD015E" w:rsidRPr="000F5CD7">
                <w:rPr>
                  <w:rStyle w:val="Hyperlink"/>
                  <w:rFonts w:cs="Arial"/>
                  <w:sz w:val="20"/>
                  <w:szCs w:val="20"/>
                </w:rPr>
                <w:t>TDA Forms page</w:t>
              </w:r>
            </w:hyperlink>
          </w:p>
        </w:tc>
      </w:tr>
      <w:tr w:rsidR="00FD015E" w:rsidRPr="000F5CD7" w14:paraId="54442ADA" w14:textId="77777777" w:rsidTr="00D759A4">
        <w:tc>
          <w:tcPr>
            <w:tcW w:w="1525" w:type="dxa"/>
            <w:tcBorders>
              <w:top w:val="single" w:sz="4" w:space="0" w:color="auto"/>
              <w:left w:val="single" w:sz="4" w:space="0" w:color="auto"/>
              <w:bottom w:val="single" w:sz="4" w:space="0" w:color="auto"/>
              <w:right w:val="single" w:sz="4" w:space="0" w:color="auto"/>
            </w:tcBorders>
          </w:tcPr>
          <w:p w14:paraId="0A35E5AB" w14:textId="77777777" w:rsidR="00FD015E" w:rsidRPr="000F5CD7" w:rsidRDefault="00FD015E" w:rsidP="00F74A6B">
            <w:pPr>
              <w:pStyle w:val="1BODY-Arial11"/>
            </w:pPr>
            <w:r w:rsidRPr="000F5CD7">
              <w:t xml:space="preserve">A1007 </w:t>
            </w:r>
          </w:p>
        </w:tc>
        <w:tc>
          <w:tcPr>
            <w:tcW w:w="3060" w:type="dxa"/>
            <w:tcBorders>
              <w:top w:val="single" w:sz="4" w:space="0" w:color="auto"/>
              <w:left w:val="single" w:sz="4" w:space="0" w:color="auto"/>
              <w:bottom w:val="single" w:sz="4" w:space="0" w:color="auto"/>
              <w:right w:val="single" w:sz="4" w:space="0" w:color="auto"/>
            </w:tcBorders>
          </w:tcPr>
          <w:p w14:paraId="50B874F0" w14:textId="77777777" w:rsidR="00FD015E" w:rsidRPr="000F5CD7" w:rsidRDefault="00FD015E" w:rsidP="00F74A6B">
            <w:pPr>
              <w:pStyle w:val="1BODY-Arial11"/>
            </w:pPr>
            <w:r w:rsidRPr="000F5CD7">
              <w:t xml:space="preserve">Sample Fair Housing Month Proclamation </w:t>
            </w:r>
          </w:p>
        </w:tc>
        <w:tc>
          <w:tcPr>
            <w:tcW w:w="5341" w:type="dxa"/>
            <w:tcBorders>
              <w:top w:val="single" w:sz="4" w:space="0" w:color="auto"/>
              <w:left w:val="single" w:sz="4" w:space="0" w:color="auto"/>
              <w:bottom w:val="single" w:sz="4" w:space="0" w:color="auto"/>
              <w:right w:val="single" w:sz="4" w:space="0" w:color="auto"/>
            </w:tcBorders>
          </w:tcPr>
          <w:p w14:paraId="4F6AEE48" w14:textId="1E9A2DBE" w:rsidR="00FD015E" w:rsidRPr="000F5CD7" w:rsidRDefault="00000000" w:rsidP="00F74A6B">
            <w:pPr>
              <w:pStyle w:val="1BODY-Arial11"/>
              <w:rPr>
                <w:sz w:val="20"/>
                <w:szCs w:val="20"/>
              </w:rPr>
            </w:pPr>
            <w:hyperlink r:id="rId29" w:history="1">
              <w:r w:rsidR="00FD015E" w:rsidRPr="000F5CD7">
                <w:rPr>
                  <w:rStyle w:val="Hyperlink"/>
                  <w:rFonts w:cs="Arial"/>
                  <w:sz w:val="20"/>
                  <w:szCs w:val="20"/>
                </w:rPr>
                <w:t>TDA Forms page</w:t>
              </w:r>
            </w:hyperlink>
          </w:p>
        </w:tc>
      </w:tr>
      <w:tr w:rsidR="00FD015E" w:rsidRPr="000F5CD7" w14:paraId="4D206AE8" w14:textId="77777777" w:rsidTr="00D759A4">
        <w:tc>
          <w:tcPr>
            <w:tcW w:w="1525" w:type="dxa"/>
            <w:tcBorders>
              <w:top w:val="single" w:sz="4" w:space="0" w:color="auto"/>
              <w:left w:val="single" w:sz="4" w:space="0" w:color="auto"/>
              <w:bottom w:val="single" w:sz="4" w:space="0" w:color="auto"/>
              <w:right w:val="single" w:sz="4" w:space="0" w:color="auto"/>
            </w:tcBorders>
          </w:tcPr>
          <w:p w14:paraId="562CE036" w14:textId="77777777" w:rsidR="00FD015E" w:rsidRPr="000F5CD7" w:rsidRDefault="00FD015E" w:rsidP="00F74A6B">
            <w:pPr>
              <w:pStyle w:val="1BODY-Arial11"/>
            </w:pPr>
            <w:r w:rsidRPr="000F5CD7">
              <w:t xml:space="preserve">A1009 </w:t>
            </w:r>
          </w:p>
        </w:tc>
        <w:tc>
          <w:tcPr>
            <w:tcW w:w="3060" w:type="dxa"/>
            <w:tcBorders>
              <w:top w:val="single" w:sz="4" w:space="0" w:color="auto"/>
              <w:left w:val="single" w:sz="4" w:space="0" w:color="auto"/>
              <w:bottom w:val="single" w:sz="4" w:space="0" w:color="auto"/>
              <w:right w:val="single" w:sz="4" w:space="0" w:color="auto"/>
            </w:tcBorders>
          </w:tcPr>
          <w:p w14:paraId="12A24A7E" w14:textId="77777777" w:rsidR="00FD015E" w:rsidRPr="000F5CD7" w:rsidRDefault="00FD015E" w:rsidP="00F74A6B">
            <w:pPr>
              <w:pStyle w:val="1BODY-Arial11"/>
            </w:pPr>
            <w:r w:rsidRPr="000F5CD7">
              <w:t>Sample Fair Housing Public Service Announcement</w:t>
            </w:r>
          </w:p>
        </w:tc>
        <w:tc>
          <w:tcPr>
            <w:tcW w:w="5341" w:type="dxa"/>
            <w:tcBorders>
              <w:top w:val="single" w:sz="4" w:space="0" w:color="auto"/>
              <w:left w:val="single" w:sz="4" w:space="0" w:color="auto"/>
              <w:bottom w:val="single" w:sz="4" w:space="0" w:color="auto"/>
              <w:right w:val="single" w:sz="4" w:space="0" w:color="auto"/>
            </w:tcBorders>
          </w:tcPr>
          <w:p w14:paraId="77107333" w14:textId="05CBCFAE" w:rsidR="00FD015E" w:rsidRPr="000F5CD7" w:rsidRDefault="00000000" w:rsidP="00F74A6B">
            <w:pPr>
              <w:pStyle w:val="1BODY-Arial11"/>
              <w:rPr>
                <w:sz w:val="20"/>
                <w:szCs w:val="20"/>
              </w:rPr>
            </w:pPr>
            <w:hyperlink r:id="rId30" w:history="1">
              <w:r w:rsidR="00FD015E" w:rsidRPr="000F5CD7">
                <w:rPr>
                  <w:rStyle w:val="Hyperlink"/>
                  <w:rFonts w:cs="Arial"/>
                  <w:sz w:val="20"/>
                  <w:szCs w:val="20"/>
                </w:rPr>
                <w:t>TDA Forms page</w:t>
              </w:r>
            </w:hyperlink>
          </w:p>
        </w:tc>
      </w:tr>
      <w:tr w:rsidR="00FD015E" w:rsidRPr="000F5CD7" w14:paraId="3720FE0D" w14:textId="77777777" w:rsidTr="00D759A4">
        <w:tc>
          <w:tcPr>
            <w:tcW w:w="1525" w:type="dxa"/>
            <w:tcBorders>
              <w:top w:val="single" w:sz="4" w:space="0" w:color="auto"/>
              <w:left w:val="single" w:sz="4" w:space="0" w:color="auto"/>
              <w:bottom w:val="single" w:sz="4" w:space="0" w:color="auto"/>
              <w:right w:val="single" w:sz="4" w:space="0" w:color="auto"/>
            </w:tcBorders>
          </w:tcPr>
          <w:p w14:paraId="6FB21807" w14:textId="77777777" w:rsidR="00FD015E" w:rsidRPr="000F5CD7" w:rsidRDefault="00FD015E" w:rsidP="00F74A6B">
            <w:pPr>
              <w:pStyle w:val="1BODY-Arial11"/>
            </w:pPr>
            <w:r w:rsidRPr="000F5CD7">
              <w:t xml:space="preserve">A1013 </w:t>
            </w:r>
          </w:p>
        </w:tc>
        <w:tc>
          <w:tcPr>
            <w:tcW w:w="3060" w:type="dxa"/>
            <w:tcBorders>
              <w:top w:val="single" w:sz="4" w:space="0" w:color="auto"/>
              <w:left w:val="single" w:sz="4" w:space="0" w:color="auto"/>
              <w:bottom w:val="single" w:sz="4" w:space="0" w:color="auto"/>
              <w:right w:val="single" w:sz="4" w:space="0" w:color="auto"/>
            </w:tcBorders>
          </w:tcPr>
          <w:p w14:paraId="1E50A4E7" w14:textId="77777777" w:rsidR="00FD015E" w:rsidRPr="000F5CD7" w:rsidRDefault="00FD015E" w:rsidP="00F74A6B">
            <w:pPr>
              <w:pStyle w:val="1BODY-Arial11"/>
            </w:pPr>
            <w:r w:rsidRPr="000F5CD7">
              <w:t>Sample Citizens Participation Plan</w:t>
            </w:r>
          </w:p>
        </w:tc>
        <w:tc>
          <w:tcPr>
            <w:tcW w:w="5341" w:type="dxa"/>
            <w:tcBorders>
              <w:top w:val="single" w:sz="4" w:space="0" w:color="auto"/>
              <w:left w:val="single" w:sz="4" w:space="0" w:color="auto"/>
              <w:bottom w:val="single" w:sz="4" w:space="0" w:color="auto"/>
              <w:right w:val="single" w:sz="4" w:space="0" w:color="auto"/>
            </w:tcBorders>
          </w:tcPr>
          <w:p w14:paraId="16D2FC2D" w14:textId="306DFB9E" w:rsidR="00FD015E" w:rsidRPr="000F5CD7" w:rsidRDefault="00000000" w:rsidP="00F74A6B">
            <w:pPr>
              <w:pStyle w:val="1BODY-Arial11"/>
              <w:rPr>
                <w:sz w:val="20"/>
                <w:szCs w:val="20"/>
              </w:rPr>
            </w:pPr>
            <w:hyperlink r:id="rId31" w:history="1">
              <w:r w:rsidR="00FD015E" w:rsidRPr="000F5CD7">
                <w:rPr>
                  <w:rStyle w:val="Hyperlink"/>
                  <w:rFonts w:cs="Arial"/>
                  <w:sz w:val="20"/>
                  <w:szCs w:val="20"/>
                </w:rPr>
                <w:t>TDA Forms page</w:t>
              </w:r>
            </w:hyperlink>
          </w:p>
        </w:tc>
      </w:tr>
      <w:tr w:rsidR="00FD015E" w:rsidRPr="000F5CD7" w14:paraId="6825F310" w14:textId="77777777" w:rsidTr="00D759A4">
        <w:tc>
          <w:tcPr>
            <w:tcW w:w="1525" w:type="dxa"/>
            <w:tcBorders>
              <w:top w:val="single" w:sz="4" w:space="0" w:color="auto"/>
              <w:left w:val="single" w:sz="4" w:space="0" w:color="auto"/>
              <w:bottom w:val="single" w:sz="4" w:space="0" w:color="auto"/>
              <w:right w:val="single" w:sz="4" w:space="0" w:color="auto"/>
            </w:tcBorders>
          </w:tcPr>
          <w:p w14:paraId="07BEF8F1" w14:textId="77777777" w:rsidR="00FD015E" w:rsidRPr="000F5CD7" w:rsidRDefault="00FD015E" w:rsidP="00F74A6B">
            <w:pPr>
              <w:pStyle w:val="1BODY-Arial11"/>
            </w:pPr>
            <w:r w:rsidRPr="000F5CD7">
              <w:t xml:space="preserve">A1014 </w:t>
            </w:r>
          </w:p>
        </w:tc>
        <w:tc>
          <w:tcPr>
            <w:tcW w:w="3060" w:type="dxa"/>
            <w:tcBorders>
              <w:top w:val="single" w:sz="4" w:space="0" w:color="auto"/>
              <w:left w:val="single" w:sz="4" w:space="0" w:color="auto"/>
              <w:bottom w:val="single" w:sz="4" w:space="0" w:color="auto"/>
              <w:right w:val="single" w:sz="4" w:space="0" w:color="auto"/>
            </w:tcBorders>
          </w:tcPr>
          <w:p w14:paraId="4460DC37" w14:textId="77777777" w:rsidR="00FD015E" w:rsidRPr="000F5CD7" w:rsidRDefault="00FD015E" w:rsidP="00F74A6B">
            <w:pPr>
              <w:pStyle w:val="1BODY-Arial11"/>
            </w:pPr>
            <w:r w:rsidRPr="000F5CD7">
              <w:t>Sample Resolution Regarding Civil Rights</w:t>
            </w:r>
          </w:p>
        </w:tc>
        <w:tc>
          <w:tcPr>
            <w:tcW w:w="5341" w:type="dxa"/>
            <w:tcBorders>
              <w:top w:val="single" w:sz="4" w:space="0" w:color="auto"/>
              <w:left w:val="single" w:sz="4" w:space="0" w:color="auto"/>
              <w:bottom w:val="single" w:sz="4" w:space="0" w:color="auto"/>
              <w:right w:val="single" w:sz="4" w:space="0" w:color="auto"/>
            </w:tcBorders>
          </w:tcPr>
          <w:p w14:paraId="52ECF954" w14:textId="603F1D24" w:rsidR="00FD015E" w:rsidRPr="000F5CD7" w:rsidRDefault="00000000" w:rsidP="00F74A6B">
            <w:pPr>
              <w:pStyle w:val="1BODY-Arial11"/>
              <w:rPr>
                <w:sz w:val="20"/>
                <w:szCs w:val="20"/>
              </w:rPr>
            </w:pPr>
            <w:hyperlink r:id="rId32" w:history="1">
              <w:r w:rsidR="00FD015E" w:rsidRPr="000F5CD7">
                <w:rPr>
                  <w:rStyle w:val="Hyperlink"/>
                  <w:rFonts w:cs="Arial"/>
                  <w:sz w:val="20"/>
                  <w:szCs w:val="20"/>
                </w:rPr>
                <w:t>TDA Forms page</w:t>
              </w:r>
            </w:hyperlink>
          </w:p>
        </w:tc>
      </w:tr>
      <w:tr w:rsidR="00FD015E" w:rsidRPr="000F5CD7" w14:paraId="04661F85" w14:textId="77777777" w:rsidTr="00D759A4">
        <w:tc>
          <w:tcPr>
            <w:tcW w:w="1525" w:type="dxa"/>
            <w:tcBorders>
              <w:top w:val="single" w:sz="4" w:space="0" w:color="auto"/>
              <w:left w:val="single" w:sz="4" w:space="0" w:color="auto"/>
              <w:bottom w:val="single" w:sz="4" w:space="0" w:color="auto"/>
              <w:right w:val="single" w:sz="4" w:space="0" w:color="auto"/>
            </w:tcBorders>
          </w:tcPr>
          <w:p w14:paraId="12EAAE11" w14:textId="77777777" w:rsidR="00FD015E" w:rsidRPr="000F5CD7" w:rsidRDefault="00FD015E" w:rsidP="00F74A6B">
            <w:pPr>
              <w:pStyle w:val="1BODY-Arial11"/>
            </w:pPr>
            <w:r w:rsidRPr="000F5CD7">
              <w:t xml:space="preserve">A1015 </w:t>
            </w:r>
          </w:p>
        </w:tc>
        <w:tc>
          <w:tcPr>
            <w:tcW w:w="3060" w:type="dxa"/>
            <w:tcBorders>
              <w:top w:val="single" w:sz="4" w:space="0" w:color="auto"/>
              <w:left w:val="single" w:sz="4" w:space="0" w:color="auto"/>
              <w:bottom w:val="single" w:sz="4" w:space="0" w:color="auto"/>
              <w:right w:val="single" w:sz="4" w:space="0" w:color="auto"/>
            </w:tcBorders>
          </w:tcPr>
          <w:p w14:paraId="50248250" w14:textId="77777777" w:rsidR="00FD015E" w:rsidRPr="000F5CD7" w:rsidRDefault="00FD015E" w:rsidP="00F74A6B">
            <w:pPr>
              <w:pStyle w:val="1BODY-Arial11"/>
            </w:pPr>
            <w:r w:rsidRPr="000F5CD7">
              <w:t xml:space="preserve">Sample Fair Housing Policy </w:t>
            </w:r>
          </w:p>
        </w:tc>
        <w:tc>
          <w:tcPr>
            <w:tcW w:w="5341" w:type="dxa"/>
            <w:tcBorders>
              <w:top w:val="single" w:sz="4" w:space="0" w:color="auto"/>
              <w:left w:val="single" w:sz="4" w:space="0" w:color="auto"/>
              <w:bottom w:val="single" w:sz="4" w:space="0" w:color="auto"/>
              <w:right w:val="single" w:sz="4" w:space="0" w:color="auto"/>
            </w:tcBorders>
          </w:tcPr>
          <w:p w14:paraId="23A8237C" w14:textId="7722E430" w:rsidR="00FD015E" w:rsidRPr="000F5CD7" w:rsidRDefault="00000000" w:rsidP="00F74A6B">
            <w:pPr>
              <w:pStyle w:val="1BODY-Arial11"/>
              <w:rPr>
                <w:sz w:val="20"/>
                <w:szCs w:val="20"/>
              </w:rPr>
            </w:pPr>
            <w:hyperlink r:id="rId33" w:history="1">
              <w:r w:rsidR="00FD015E" w:rsidRPr="000F5CD7">
                <w:rPr>
                  <w:rStyle w:val="Hyperlink"/>
                  <w:rFonts w:cs="Arial"/>
                  <w:sz w:val="20"/>
                  <w:szCs w:val="20"/>
                </w:rPr>
                <w:t>TDA Forms page</w:t>
              </w:r>
            </w:hyperlink>
          </w:p>
        </w:tc>
      </w:tr>
      <w:tr w:rsidR="00FD015E" w:rsidRPr="000F5CD7" w14:paraId="13700FA9" w14:textId="77777777" w:rsidTr="00D759A4">
        <w:tc>
          <w:tcPr>
            <w:tcW w:w="1525" w:type="dxa"/>
            <w:tcBorders>
              <w:top w:val="single" w:sz="4" w:space="0" w:color="auto"/>
              <w:left w:val="single" w:sz="4" w:space="0" w:color="auto"/>
              <w:bottom w:val="single" w:sz="4" w:space="0" w:color="auto"/>
              <w:right w:val="single" w:sz="4" w:space="0" w:color="auto"/>
            </w:tcBorders>
          </w:tcPr>
          <w:p w14:paraId="5CD3F221" w14:textId="77777777" w:rsidR="00FD015E" w:rsidRPr="000F5CD7" w:rsidRDefault="00FD015E" w:rsidP="00F74A6B">
            <w:pPr>
              <w:pStyle w:val="1BODY-Arial11"/>
            </w:pPr>
            <w:r w:rsidRPr="000F5CD7">
              <w:t xml:space="preserve">A1016 </w:t>
            </w:r>
          </w:p>
        </w:tc>
        <w:tc>
          <w:tcPr>
            <w:tcW w:w="3060" w:type="dxa"/>
            <w:tcBorders>
              <w:top w:val="single" w:sz="4" w:space="0" w:color="auto"/>
              <w:left w:val="single" w:sz="4" w:space="0" w:color="auto"/>
              <w:bottom w:val="single" w:sz="4" w:space="0" w:color="auto"/>
              <w:right w:val="single" w:sz="4" w:space="0" w:color="auto"/>
            </w:tcBorders>
          </w:tcPr>
          <w:p w14:paraId="49FCBA66" w14:textId="77777777" w:rsidR="00FD015E" w:rsidRPr="000F5CD7" w:rsidRDefault="00FD015E" w:rsidP="00F74A6B">
            <w:pPr>
              <w:pStyle w:val="1BODY-Arial11"/>
            </w:pPr>
            <w:r w:rsidRPr="000F5CD7">
              <w:t>Civil Right Responsibilities Checklist</w:t>
            </w:r>
          </w:p>
        </w:tc>
        <w:tc>
          <w:tcPr>
            <w:tcW w:w="5341" w:type="dxa"/>
            <w:tcBorders>
              <w:top w:val="single" w:sz="4" w:space="0" w:color="auto"/>
              <w:left w:val="single" w:sz="4" w:space="0" w:color="auto"/>
              <w:bottom w:val="single" w:sz="4" w:space="0" w:color="auto"/>
              <w:right w:val="single" w:sz="4" w:space="0" w:color="auto"/>
            </w:tcBorders>
          </w:tcPr>
          <w:p w14:paraId="7F87AFCC" w14:textId="5ADEA64A" w:rsidR="00FD015E" w:rsidRPr="000F5CD7" w:rsidRDefault="00000000" w:rsidP="00F74A6B">
            <w:pPr>
              <w:pStyle w:val="1BODY-Arial11"/>
              <w:rPr>
                <w:sz w:val="20"/>
                <w:szCs w:val="20"/>
              </w:rPr>
            </w:pPr>
            <w:hyperlink r:id="rId34" w:history="1">
              <w:r w:rsidR="00FD015E" w:rsidRPr="000F5CD7">
                <w:rPr>
                  <w:rStyle w:val="Hyperlink"/>
                  <w:rFonts w:cs="Arial"/>
                  <w:sz w:val="20"/>
                  <w:szCs w:val="20"/>
                </w:rPr>
                <w:t>TDA Forms page</w:t>
              </w:r>
            </w:hyperlink>
          </w:p>
        </w:tc>
      </w:tr>
      <w:tr w:rsidR="00FD015E" w:rsidRPr="000F5CD7" w14:paraId="7AEB73C6" w14:textId="77777777" w:rsidTr="00D759A4">
        <w:tc>
          <w:tcPr>
            <w:tcW w:w="1525" w:type="dxa"/>
            <w:tcBorders>
              <w:top w:val="single" w:sz="4" w:space="0" w:color="auto"/>
              <w:left w:val="single" w:sz="4" w:space="0" w:color="auto"/>
              <w:bottom w:val="single" w:sz="4" w:space="0" w:color="auto"/>
              <w:right w:val="single" w:sz="4" w:space="0" w:color="auto"/>
            </w:tcBorders>
          </w:tcPr>
          <w:p w14:paraId="4D158542" w14:textId="77777777" w:rsidR="00FD015E" w:rsidRPr="000F5CD7" w:rsidRDefault="00FD015E" w:rsidP="00F74A6B">
            <w:pPr>
              <w:pStyle w:val="1BODY-Arial11"/>
            </w:pPr>
            <w:r w:rsidRPr="000F5CD7">
              <w:t xml:space="preserve">A1021 </w:t>
            </w:r>
          </w:p>
        </w:tc>
        <w:tc>
          <w:tcPr>
            <w:tcW w:w="3060" w:type="dxa"/>
            <w:tcBorders>
              <w:top w:val="single" w:sz="4" w:space="0" w:color="auto"/>
              <w:left w:val="single" w:sz="4" w:space="0" w:color="auto"/>
              <w:bottom w:val="single" w:sz="4" w:space="0" w:color="auto"/>
              <w:right w:val="single" w:sz="4" w:space="0" w:color="auto"/>
            </w:tcBorders>
          </w:tcPr>
          <w:p w14:paraId="4DA61E07" w14:textId="77777777" w:rsidR="00FD015E" w:rsidRPr="000F5CD7" w:rsidRDefault="00FD015E" w:rsidP="00F74A6B">
            <w:pPr>
              <w:pStyle w:val="1BODY-Arial11"/>
            </w:pPr>
            <w:r w:rsidRPr="000F5CD7">
              <w:t>Sample Section 3 Service Area</w:t>
            </w:r>
          </w:p>
        </w:tc>
        <w:tc>
          <w:tcPr>
            <w:tcW w:w="5341" w:type="dxa"/>
            <w:tcBorders>
              <w:top w:val="single" w:sz="4" w:space="0" w:color="auto"/>
              <w:left w:val="single" w:sz="4" w:space="0" w:color="auto"/>
              <w:bottom w:val="single" w:sz="4" w:space="0" w:color="auto"/>
              <w:right w:val="single" w:sz="4" w:space="0" w:color="auto"/>
            </w:tcBorders>
          </w:tcPr>
          <w:p w14:paraId="78DABF57" w14:textId="12FBBAD7" w:rsidR="00FD015E" w:rsidRPr="000F5CD7" w:rsidRDefault="00000000" w:rsidP="00F74A6B">
            <w:pPr>
              <w:pStyle w:val="1BODY-Arial11"/>
              <w:rPr>
                <w:sz w:val="20"/>
                <w:szCs w:val="20"/>
              </w:rPr>
            </w:pPr>
            <w:hyperlink r:id="rId35" w:history="1">
              <w:r w:rsidR="00FD015E" w:rsidRPr="000F5CD7">
                <w:rPr>
                  <w:rStyle w:val="Hyperlink"/>
                  <w:rFonts w:cs="Arial"/>
                  <w:sz w:val="20"/>
                  <w:szCs w:val="20"/>
                </w:rPr>
                <w:t>TDA Forms page</w:t>
              </w:r>
            </w:hyperlink>
          </w:p>
        </w:tc>
      </w:tr>
      <w:tr w:rsidR="00FD015E" w:rsidRPr="000F5CD7" w14:paraId="616212E2" w14:textId="77777777" w:rsidTr="00D759A4">
        <w:tc>
          <w:tcPr>
            <w:tcW w:w="1525" w:type="dxa"/>
            <w:tcBorders>
              <w:top w:val="single" w:sz="4" w:space="0" w:color="auto"/>
              <w:left w:val="single" w:sz="4" w:space="0" w:color="auto"/>
              <w:bottom w:val="single" w:sz="4" w:space="0" w:color="auto"/>
              <w:right w:val="single" w:sz="4" w:space="0" w:color="auto"/>
            </w:tcBorders>
          </w:tcPr>
          <w:p w14:paraId="35C566D8" w14:textId="77777777" w:rsidR="00FD015E" w:rsidRPr="000F5CD7" w:rsidRDefault="00FD015E" w:rsidP="00F74A6B">
            <w:pPr>
              <w:pStyle w:val="1BODY-Arial11"/>
            </w:pPr>
            <w:r w:rsidRPr="000F5CD7">
              <w:t>A1022</w:t>
            </w:r>
          </w:p>
          <w:p w14:paraId="7107464E" w14:textId="77777777" w:rsidR="00FD015E" w:rsidRPr="000F5CD7" w:rsidRDefault="00FD015E" w:rsidP="00F74A6B">
            <w:pPr>
              <w:pStyle w:val="1BODY-Arial11"/>
            </w:pPr>
          </w:p>
        </w:tc>
        <w:tc>
          <w:tcPr>
            <w:tcW w:w="3060" w:type="dxa"/>
            <w:tcBorders>
              <w:top w:val="single" w:sz="4" w:space="0" w:color="auto"/>
              <w:left w:val="single" w:sz="4" w:space="0" w:color="auto"/>
              <w:bottom w:val="single" w:sz="4" w:space="0" w:color="auto"/>
              <w:right w:val="single" w:sz="4" w:space="0" w:color="auto"/>
            </w:tcBorders>
          </w:tcPr>
          <w:p w14:paraId="3F21165F" w14:textId="77777777" w:rsidR="00FD015E" w:rsidRPr="000F5CD7" w:rsidRDefault="00FD015E" w:rsidP="00F74A6B">
            <w:pPr>
              <w:pStyle w:val="1BODY-Arial11"/>
            </w:pPr>
            <w:r w:rsidRPr="000F5CD7">
              <w:t>Employer Certification Form</w:t>
            </w:r>
          </w:p>
        </w:tc>
        <w:tc>
          <w:tcPr>
            <w:tcW w:w="5341" w:type="dxa"/>
            <w:tcBorders>
              <w:top w:val="single" w:sz="4" w:space="0" w:color="auto"/>
              <w:left w:val="single" w:sz="4" w:space="0" w:color="auto"/>
              <w:bottom w:val="single" w:sz="4" w:space="0" w:color="auto"/>
              <w:right w:val="single" w:sz="4" w:space="0" w:color="auto"/>
            </w:tcBorders>
          </w:tcPr>
          <w:p w14:paraId="7364140C" w14:textId="7C74115B" w:rsidR="00FD015E" w:rsidRPr="000F5CD7" w:rsidRDefault="00000000" w:rsidP="00F74A6B">
            <w:pPr>
              <w:pStyle w:val="1BODY-Arial11"/>
              <w:rPr>
                <w:sz w:val="20"/>
                <w:szCs w:val="20"/>
              </w:rPr>
            </w:pPr>
            <w:hyperlink r:id="rId36" w:history="1">
              <w:r w:rsidR="00FD015E" w:rsidRPr="000F5CD7">
                <w:rPr>
                  <w:rStyle w:val="Hyperlink"/>
                  <w:rFonts w:cs="Arial"/>
                  <w:sz w:val="20"/>
                  <w:szCs w:val="20"/>
                </w:rPr>
                <w:t>TDA Forms page</w:t>
              </w:r>
            </w:hyperlink>
          </w:p>
        </w:tc>
      </w:tr>
      <w:tr w:rsidR="00FD015E" w:rsidRPr="000F5CD7" w14:paraId="4420791B" w14:textId="77777777" w:rsidTr="00D759A4">
        <w:tc>
          <w:tcPr>
            <w:tcW w:w="1525" w:type="dxa"/>
            <w:tcBorders>
              <w:top w:val="single" w:sz="4" w:space="0" w:color="auto"/>
              <w:left w:val="single" w:sz="4" w:space="0" w:color="auto"/>
              <w:bottom w:val="single" w:sz="4" w:space="0" w:color="auto"/>
              <w:right w:val="single" w:sz="4" w:space="0" w:color="auto"/>
            </w:tcBorders>
          </w:tcPr>
          <w:p w14:paraId="0A7B5221" w14:textId="77777777" w:rsidR="00FD015E" w:rsidRPr="000F5CD7" w:rsidRDefault="00FD015E" w:rsidP="00F74A6B">
            <w:pPr>
              <w:pStyle w:val="1BODY-Arial11"/>
            </w:pPr>
            <w:r w:rsidRPr="000F5CD7">
              <w:t>A1023</w:t>
            </w:r>
          </w:p>
        </w:tc>
        <w:tc>
          <w:tcPr>
            <w:tcW w:w="3060" w:type="dxa"/>
            <w:tcBorders>
              <w:top w:val="single" w:sz="4" w:space="0" w:color="auto"/>
              <w:left w:val="single" w:sz="4" w:space="0" w:color="auto"/>
              <w:bottom w:val="single" w:sz="4" w:space="0" w:color="auto"/>
              <w:right w:val="single" w:sz="4" w:space="0" w:color="auto"/>
            </w:tcBorders>
          </w:tcPr>
          <w:p w14:paraId="380A704A" w14:textId="77777777" w:rsidR="00FD015E" w:rsidRPr="000F5CD7" w:rsidRDefault="00FD015E" w:rsidP="00F74A6B">
            <w:pPr>
              <w:pStyle w:val="1BODY-Arial11"/>
            </w:pPr>
            <w:r w:rsidRPr="000F5CD7">
              <w:t>Certification as Section 3 Business</w:t>
            </w:r>
          </w:p>
        </w:tc>
        <w:tc>
          <w:tcPr>
            <w:tcW w:w="5341" w:type="dxa"/>
            <w:tcBorders>
              <w:top w:val="single" w:sz="4" w:space="0" w:color="auto"/>
              <w:left w:val="single" w:sz="4" w:space="0" w:color="auto"/>
              <w:bottom w:val="single" w:sz="4" w:space="0" w:color="auto"/>
              <w:right w:val="single" w:sz="4" w:space="0" w:color="auto"/>
            </w:tcBorders>
          </w:tcPr>
          <w:p w14:paraId="0382987C" w14:textId="0067B7B6" w:rsidR="00FD015E" w:rsidRPr="000F5CD7" w:rsidRDefault="00000000" w:rsidP="00F74A6B">
            <w:pPr>
              <w:pStyle w:val="1BODY-Arial11"/>
              <w:rPr>
                <w:sz w:val="20"/>
                <w:szCs w:val="20"/>
              </w:rPr>
            </w:pPr>
            <w:hyperlink r:id="rId37" w:history="1">
              <w:r w:rsidR="00FD015E" w:rsidRPr="000F5CD7">
                <w:rPr>
                  <w:rStyle w:val="Hyperlink"/>
                  <w:rFonts w:cs="Arial"/>
                  <w:sz w:val="20"/>
                  <w:szCs w:val="20"/>
                </w:rPr>
                <w:t>TDA Forms page</w:t>
              </w:r>
            </w:hyperlink>
          </w:p>
        </w:tc>
      </w:tr>
      <w:tr w:rsidR="00FD015E" w:rsidRPr="000F5CD7" w14:paraId="261FDC91" w14:textId="77777777" w:rsidTr="00D759A4">
        <w:tc>
          <w:tcPr>
            <w:tcW w:w="1525" w:type="dxa"/>
            <w:tcBorders>
              <w:top w:val="single" w:sz="4" w:space="0" w:color="auto"/>
              <w:left w:val="single" w:sz="4" w:space="0" w:color="auto"/>
              <w:bottom w:val="single" w:sz="4" w:space="0" w:color="auto"/>
              <w:right w:val="single" w:sz="4" w:space="0" w:color="auto"/>
            </w:tcBorders>
          </w:tcPr>
          <w:p w14:paraId="2CD2D328" w14:textId="77777777" w:rsidR="00FD015E" w:rsidRPr="000F5CD7" w:rsidRDefault="00FD015E" w:rsidP="00F74A6B">
            <w:pPr>
              <w:pStyle w:val="1BODY-Arial11"/>
            </w:pPr>
            <w:r w:rsidRPr="000F5CD7">
              <w:t xml:space="preserve">A1024 </w:t>
            </w:r>
          </w:p>
        </w:tc>
        <w:tc>
          <w:tcPr>
            <w:tcW w:w="3060" w:type="dxa"/>
            <w:tcBorders>
              <w:top w:val="single" w:sz="4" w:space="0" w:color="auto"/>
              <w:left w:val="single" w:sz="4" w:space="0" w:color="auto"/>
              <w:bottom w:val="single" w:sz="4" w:space="0" w:color="auto"/>
              <w:right w:val="single" w:sz="4" w:space="0" w:color="auto"/>
            </w:tcBorders>
          </w:tcPr>
          <w:p w14:paraId="2EFB70E9" w14:textId="77777777" w:rsidR="00FD015E" w:rsidRPr="000F5CD7" w:rsidRDefault="00FD015E" w:rsidP="00F74A6B">
            <w:pPr>
              <w:pStyle w:val="1BODY-Arial11"/>
            </w:pPr>
            <w:r w:rsidRPr="000F5CD7">
              <w:t xml:space="preserve">Sample Section 3 Presentation to Local Community </w:t>
            </w:r>
          </w:p>
        </w:tc>
        <w:tc>
          <w:tcPr>
            <w:tcW w:w="5341" w:type="dxa"/>
            <w:tcBorders>
              <w:top w:val="single" w:sz="4" w:space="0" w:color="auto"/>
              <w:left w:val="single" w:sz="4" w:space="0" w:color="auto"/>
              <w:bottom w:val="single" w:sz="4" w:space="0" w:color="auto"/>
              <w:right w:val="single" w:sz="4" w:space="0" w:color="auto"/>
            </w:tcBorders>
          </w:tcPr>
          <w:p w14:paraId="7F276A24" w14:textId="54DDD4BE" w:rsidR="00FD015E" w:rsidRPr="000F5CD7" w:rsidRDefault="00000000" w:rsidP="00F74A6B">
            <w:pPr>
              <w:pStyle w:val="1BODY-Arial11"/>
              <w:rPr>
                <w:sz w:val="20"/>
                <w:szCs w:val="20"/>
              </w:rPr>
            </w:pPr>
            <w:hyperlink r:id="rId38" w:history="1">
              <w:r w:rsidR="00FD015E" w:rsidRPr="000F5CD7">
                <w:rPr>
                  <w:rStyle w:val="Hyperlink"/>
                  <w:rFonts w:cs="Arial"/>
                  <w:sz w:val="20"/>
                  <w:szCs w:val="20"/>
                </w:rPr>
                <w:t>TDA Forms page</w:t>
              </w:r>
            </w:hyperlink>
          </w:p>
        </w:tc>
      </w:tr>
      <w:tr w:rsidR="00F74A6B" w:rsidRPr="000F5CD7" w14:paraId="0F8E420B" w14:textId="77777777" w:rsidTr="00D759A4">
        <w:tc>
          <w:tcPr>
            <w:tcW w:w="1525" w:type="dxa"/>
            <w:tcBorders>
              <w:top w:val="single" w:sz="4" w:space="0" w:color="auto"/>
              <w:left w:val="single" w:sz="4" w:space="0" w:color="auto"/>
              <w:bottom w:val="single" w:sz="4" w:space="0" w:color="auto"/>
              <w:right w:val="single" w:sz="4" w:space="0" w:color="auto"/>
            </w:tcBorders>
          </w:tcPr>
          <w:p w14:paraId="46793A7E" w14:textId="0589F1B7" w:rsidR="00F74A6B" w:rsidRPr="000F5CD7" w:rsidRDefault="00F74A6B" w:rsidP="00F74A6B">
            <w:pPr>
              <w:pStyle w:val="1BODY-Arial11"/>
            </w:pPr>
            <w:r>
              <w:t>A1025</w:t>
            </w:r>
          </w:p>
        </w:tc>
        <w:tc>
          <w:tcPr>
            <w:tcW w:w="3060" w:type="dxa"/>
            <w:tcBorders>
              <w:top w:val="single" w:sz="4" w:space="0" w:color="auto"/>
              <w:left w:val="single" w:sz="4" w:space="0" w:color="auto"/>
              <w:bottom w:val="single" w:sz="4" w:space="0" w:color="auto"/>
              <w:right w:val="single" w:sz="4" w:space="0" w:color="auto"/>
            </w:tcBorders>
          </w:tcPr>
          <w:p w14:paraId="33C5D747" w14:textId="7866F65A" w:rsidR="00F74A6B" w:rsidRPr="000F5CD7" w:rsidRDefault="00F74A6B" w:rsidP="00F74A6B">
            <w:pPr>
              <w:pStyle w:val="1BODY-Arial11"/>
            </w:pPr>
            <w:r>
              <w:t>Violence Against Women Act (VAWA) Certification</w:t>
            </w:r>
          </w:p>
        </w:tc>
        <w:tc>
          <w:tcPr>
            <w:tcW w:w="5341" w:type="dxa"/>
            <w:tcBorders>
              <w:top w:val="single" w:sz="4" w:space="0" w:color="auto"/>
              <w:left w:val="single" w:sz="4" w:space="0" w:color="auto"/>
              <w:bottom w:val="single" w:sz="4" w:space="0" w:color="auto"/>
              <w:right w:val="single" w:sz="4" w:space="0" w:color="auto"/>
            </w:tcBorders>
          </w:tcPr>
          <w:p w14:paraId="47E0A106" w14:textId="3E825ECF" w:rsidR="00F74A6B" w:rsidRDefault="00000000" w:rsidP="00F74A6B">
            <w:pPr>
              <w:pStyle w:val="1BODY-Arial11"/>
            </w:pPr>
            <w:hyperlink r:id="rId39" w:history="1">
              <w:r w:rsidR="00F74A6B" w:rsidRPr="000F5CD7">
                <w:rPr>
                  <w:rStyle w:val="Hyperlink"/>
                  <w:rFonts w:cs="Arial"/>
                  <w:sz w:val="20"/>
                  <w:szCs w:val="20"/>
                </w:rPr>
                <w:t>TDA Forms page</w:t>
              </w:r>
            </w:hyperlink>
          </w:p>
        </w:tc>
      </w:tr>
    </w:tbl>
    <w:p w14:paraId="69BB5426" w14:textId="32B4FDAF" w:rsidR="0054424C" w:rsidRPr="000F5CD7" w:rsidRDefault="00FD015E" w:rsidP="00FD015E">
      <w:pPr>
        <w:spacing w:after="160"/>
        <w:rPr>
          <w:rFonts w:cs="Arial"/>
          <w:bCs/>
          <w:strike/>
          <w:sz w:val="20"/>
          <w:szCs w:val="20"/>
        </w:rPr>
      </w:pPr>
      <w:r w:rsidRPr="000F5CD7">
        <w:rPr>
          <w:rFonts w:cs="Arial"/>
          <w:sz w:val="20"/>
          <w:szCs w:val="20"/>
        </w:rPr>
        <w:t>*Note: these items will be updated as needed.</w:t>
      </w:r>
    </w:p>
    <w:sectPr w:rsidR="0054424C" w:rsidRPr="000F5CD7" w:rsidSect="00270A76">
      <w:headerReference w:type="default" r:id="rId40"/>
      <w:footerReference w:type="default" r:id="rId41"/>
      <w:pgSz w:w="12240" w:h="15840"/>
      <w:pgMar w:top="1152" w:right="1152" w:bottom="994" w:left="1152"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5F98F" w14:textId="77777777" w:rsidR="00872A37" w:rsidRDefault="00872A37" w:rsidP="00625EE8">
      <w:r>
        <w:separator/>
      </w:r>
    </w:p>
  </w:endnote>
  <w:endnote w:type="continuationSeparator" w:id="0">
    <w:p w14:paraId="60E6144F" w14:textId="77777777" w:rsidR="00872A37" w:rsidRDefault="00872A37" w:rsidP="006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E33D1" w14:textId="77777777" w:rsidR="00625EE8" w:rsidRDefault="00625EE8" w:rsidP="00625EE8">
    <w:pPr>
      <w:pStyle w:val="Footer"/>
      <w:pBdr>
        <w:top w:val="dotted" w:sz="4" w:space="1" w:color="auto"/>
      </w:pBdr>
      <w:tabs>
        <w:tab w:val="clear" w:pos="4680"/>
        <w:tab w:val="clear" w:pos="9360"/>
        <w:tab w:val="left" w:pos="3870"/>
        <w:tab w:val="left" w:pos="4500"/>
        <w:tab w:val="left" w:pos="8100"/>
        <w:tab w:val="right" w:pos="9630"/>
      </w:tabs>
      <w:rPr>
        <w:rFonts w:cs="Arial"/>
        <w:sz w:val="16"/>
        <w:szCs w:val="16"/>
      </w:rPr>
    </w:pPr>
  </w:p>
  <w:p w14:paraId="6EB6A6B3" w14:textId="353A8756" w:rsidR="00625EE8" w:rsidRPr="009A2780" w:rsidRDefault="0082756E" w:rsidP="00625EE8">
    <w:pPr>
      <w:pStyle w:val="Footer"/>
      <w:pBdr>
        <w:top w:val="dotted" w:sz="4" w:space="1" w:color="auto"/>
      </w:pBdr>
      <w:tabs>
        <w:tab w:val="clear" w:pos="4680"/>
        <w:tab w:val="clear" w:pos="9360"/>
        <w:tab w:val="left" w:pos="3870"/>
        <w:tab w:val="left" w:pos="4500"/>
        <w:tab w:val="left" w:pos="8100"/>
        <w:tab w:val="right" w:pos="9630"/>
      </w:tabs>
      <w:rPr>
        <w:rFonts w:cs="Arial"/>
        <w:sz w:val="16"/>
        <w:szCs w:val="16"/>
      </w:rPr>
    </w:pPr>
    <w:r>
      <w:rPr>
        <w:rFonts w:cs="Arial"/>
        <w:sz w:val="16"/>
        <w:szCs w:val="16"/>
      </w:rPr>
      <w:t>202</w:t>
    </w:r>
    <w:r w:rsidR="003122C2">
      <w:rPr>
        <w:rFonts w:cs="Arial"/>
        <w:sz w:val="16"/>
        <w:szCs w:val="16"/>
      </w:rPr>
      <w:t>4</w:t>
    </w:r>
    <w:r w:rsidR="00625EE8" w:rsidRPr="00C5424A">
      <w:rPr>
        <w:rFonts w:cs="Arial"/>
        <w:sz w:val="16"/>
        <w:szCs w:val="16"/>
      </w:rPr>
      <w:t xml:space="preserve"> TxCDBG </w:t>
    </w:r>
    <w:r w:rsidR="00625EE8" w:rsidRPr="009A2780">
      <w:rPr>
        <w:rFonts w:cs="Arial"/>
        <w:sz w:val="16"/>
        <w:szCs w:val="16"/>
      </w:rPr>
      <w:t xml:space="preserve">Project Implementation Manual </w:t>
    </w:r>
    <w:r w:rsidR="00625EE8">
      <w:rPr>
        <w:rFonts w:cs="Arial"/>
        <w:sz w:val="16"/>
        <w:szCs w:val="16"/>
      </w:rPr>
      <w:t xml:space="preserve">  SECTION A - Chapter 10 Civil Rights and Related Requirements</w:t>
    </w:r>
    <w:r w:rsidR="000F5CD7">
      <w:rPr>
        <w:rFonts w:cs="Arial"/>
        <w:sz w:val="16"/>
        <w:szCs w:val="16"/>
      </w:rPr>
      <w:tab/>
      <w:t xml:space="preserve">     </w:t>
    </w:r>
    <w:r w:rsidR="00776FAC">
      <w:rPr>
        <w:rFonts w:cs="Arial"/>
        <w:sz w:val="16"/>
        <w:szCs w:val="16"/>
      </w:rPr>
      <w:t>9</w:t>
    </w:r>
    <w:r w:rsidR="00DE5E75">
      <w:rPr>
        <w:rFonts w:cs="Arial"/>
        <w:sz w:val="16"/>
        <w:szCs w:val="16"/>
      </w:rPr>
      <w:t>.1.202</w:t>
    </w:r>
    <w:r w:rsidR="00056AA6">
      <w:rPr>
        <w:rFonts w:cs="Arial"/>
        <w:sz w:val="16"/>
        <w:szCs w:val="16"/>
      </w:rPr>
      <w:t>4</w:t>
    </w:r>
    <w:r>
      <w:rPr>
        <w:rFonts w:cs="Arial"/>
        <w:sz w:val="16"/>
        <w:szCs w:val="16"/>
      </w:rPr>
      <w:t xml:space="preserve">   </w:t>
    </w:r>
    <w:r w:rsidR="00625EE8">
      <w:rPr>
        <w:rFonts w:cs="Arial"/>
        <w:sz w:val="16"/>
        <w:szCs w:val="16"/>
      </w:rPr>
      <w:tab/>
    </w:r>
    <w:r w:rsidR="00625EE8" w:rsidRPr="009A2780">
      <w:rPr>
        <w:rStyle w:val="PageNumber"/>
        <w:rFonts w:cs="Arial"/>
        <w:sz w:val="16"/>
        <w:szCs w:val="16"/>
      </w:rPr>
      <w:fldChar w:fldCharType="begin"/>
    </w:r>
    <w:r w:rsidR="00625EE8" w:rsidRPr="009A2780">
      <w:rPr>
        <w:rStyle w:val="PageNumber"/>
        <w:rFonts w:cs="Arial"/>
        <w:sz w:val="16"/>
        <w:szCs w:val="16"/>
      </w:rPr>
      <w:instrText xml:space="preserve"> PAGE </w:instrText>
    </w:r>
    <w:r w:rsidR="00625EE8" w:rsidRPr="009A2780">
      <w:rPr>
        <w:rStyle w:val="PageNumber"/>
        <w:rFonts w:cs="Arial"/>
        <w:sz w:val="16"/>
        <w:szCs w:val="16"/>
      </w:rPr>
      <w:fldChar w:fldCharType="separate"/>
    </w:r>
    <w:r w:rsidR="00625EE8">
      <w:rPr>
        <w:rStyle w:val="PageNumber"/>
        <w:rFonts w:cs="Arial"/>
        <w:sz w:val="16"/>
        <w:szCs w:val="16"/>
      </w:rPr>
      <w:t>1</w:t>
    </w:r>
    <w:r w:rsidR="00625EE8" w:rsidRPr="009A2780">
      <w:rPr>
        <w:rStyle w:val="PageNumber"/>
        <w:rFonts w:cs="Arial"/>
        <w:sz w:val="16"/>
        <w:szCs w:val="16"/>
      </w:rPr>
      <w:fldChar w:fldCharType="end"/>
    </w:r>
  </w:p>
  <w:p w14:paraId="48FE2A14" w14:textId="77777777" w:rsidR="00625EE8" w:rsidRDefault="0062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CC006" w14:textId="77777777" w:rsidR="00872A37" w:rsidRDefault="00872A37" w:rsidP="00625EE8">
      <w:r>
        <w:separator/>
      </w:r>
    </w:p>
  </w:footnote>
  <w:footnote w:type="continuationSeparator" w:id="0">
    <w:p w14:paraId="5FDF57F4" w14:textId="77777777" w:rsidR="00872A37" w:rsidRDefault="00872A37" w:rsidP="00625EE8">
      <w:r>
        <w:continuationSeparator/>
      </w:r>
    </w:p>
  </w:footnote>
  <w:footnote w:id="1">
    <w:p w14:paraId="18A4AEED" w14:textId="588BB21A" w:rsidR="00335440" w:rsidRPr="002865FD" w:rsidRDefault="00335440">
      <w:pPr>
        <w:pStyle w:val="FootnoteText"/>
        <w:rPr>
          <w:sz w:val="18"/>
          <w:szCs w:val="18"/>
        </w:rPr>
      </w:pPr>
      <w:r w:rsidRPr="002865FD">
        <w:rPr>
          <w:rStyle w:val="FootnoteReference"/>
          <w:sz w:val="18"/>
          <w:szCs w:val="18"/>
        </w:rPr>
        <w:footnoteRef/>
      </w:r>
      <w:r w:rsidRPr="002865FD">
        <w:rPr>
          <w:sz w:val="18"/>
          <w:szCs w:val="18"/>
        </w:rPr>
        <w:t xml:space="preserve"> Section 104(a)(2) of the Housing and Community Development Act and 24 CFR §570.486</w:t>
      </w:r>
    </w:p>
  </w:footnote>
  <w:footnote w:id="2">
    <w:p w14:paraId="025E648D" w14:textId="7BF24933" w:rsidR="00335440" w:rsidRPr="002E14AC" w:rsidRDefault="00335440">
      <w:pPr>
        <w:pStyle w:val="FootnoteText"/>
        <w:rPr>
          <w:sz w:val="18"/>
          <w:szCs w:val="18"/>
        </w:rPr>
      </w:pPr>
      <w:r w:rsidRPr="002E14AC">
        <w:rPr>
          <w:rStyle w:val="FootnoteReference"/>
          <w:sz w:val="18"/>
          <w:szCs w:val="18"/>
        </w:rPr>
        <w:footnoteRef/>
      </w:r>
      <w:r w:rsidRPr="002E14AC">
        <w:rPr>
          <w:sz w:val="18"/>
          <w:szCs w:val="18"/>
        </w:rPr>
        <w:t xml:space="preserve"> 24 CFR §570.486</w:t>
      </w:r>
    </w:p>
  </w:footnote>
  <w:footnote w:id="3">
    <w:p w14:paraId="77046AF8" w14:textId="6F363D51" w:rsidR="00335440" w:rsidRPr="002E14AC" w:rsidRDefault="00335440">
      <w:pPr>
        <w:pStyle w:val="FootnoteText"/>
        <w:rPr>
          <w:sz w:val="18"/>
          <w:szCs w:val="18"/>
        </w:rPr>
      </w:pPr>
      <w:r w:rsidRPr="002E14AC">
        <w:rPr>
          <w:rStyle w:val="FootnoteReference"/>
          <w:sz w:val="18"/>
          <w:szCs w:val="18"/>
        </w:rPr>
        <w:footnoteRef/>
      </w:r>
      <w:r w:rsidRPr="002E14AC">
        <w:rPr>
          <w:sz w:val="18"/>
          <w:szCs w:val="18"/>
        </w:rPr>
        <w:t xml:space="preserve"> Section 109 of Title I of the Housing and Community Development Act (24 CFR Part 6)</w:t>
      </w:r>
    </w:p>
  </w:footnote>
  <w:footnote w:id="4">
    <w:p w14:paraId="0CEEE603" w14:textId="7CB3ABD6" w:rsidR="00335440" w:rsidRPr="002E14AC" w:rsidRDefault="00335440">
      <w:pPr>
        <w:pStyle w:val="FootnoteText"/>
        <w:rPr>
          <w:sz w:val="18"/>
          <w:szCs w:val="18"/>
        </w:rPr>
      </w:pPr>
      <w:r w:rsidRPr="002E14AC">
        <w:rPr>
          <w:rStyle w:val="FootnoteReference"/>
          <w:sz w:val="18"/>
          <w:szCs w:val="18"/>
        </w:rPr>
        <w:footnoteRef/>
      </w:r>
      <w:r w:rsidRPr="002E14AC">
        <w:rPr>
          <w:sz w:val="18"/>
          <w:szCs w:val="18"/>
        </w:rPr>
        <w:t xml:space="preserve"> Age Discrimination Act of 1975 (42 U.S.C. </w:t>
      </w:r>
      <w:r w:rsidR="000748A5" w:rsidRPr="002E14AC">
        <w:rPr>
          <w:sz w:val="18"/>
          <w:szCs w:val="18"/>
        </w:rPr>
        <w:t>§§</w:t>
      </w:r>
      <w:r w:rsidRPr="002E14AC">
        <w:rPr>
          <w:sz w:val="18"/>
          <w:szCs w:val="18"/>
        </w:rPr>
        <w:t>6101-6107</w:t>
      </w:r>
      <w:proofErr w:type="gramStart"/>
      <w:r w:rsidRPr="002E14AC">
        <w:rPr>
          <w:sz w:val="18"/>
          <w:szCs w:val="18"/>
        </w:rPr>
        <w:t>);</w:t>
      </w:r>
      <w:proofErr w:type="gramEnd"/>
    </w:p>
  </w:footnote>
  <w:footnote w:id="5">
    <w:p w14:paraId="4874C352" w14:textId="5361CB2C" w:rsidR="00335440" w:rsidRPr="002E14AC" w:rsidRDefault="00335440">
      <w:pPr>
        <w:pStyle w:val="FootnoteText"/>
        <w:rPr>
          <w:sz w:val="18"/>
          <w:szCs w:val="18"/>
        </w:rPr>
      </w:pPr>
      <w:r w:rsidRPr="002E14AC">
        <w:rPr>
          <w:rStyle w:val="FootnoteReference"/>
          <w:sz w:val="18"/>
          <w:szCs w:val="18"/>
        </w:rPr>
        <w:footnoteRef/>
      </w:r>
      <w:r w:rsidRPr="002E14AC">
        <w:rPr>
          <w:sz w:val="18"/>
          <w:szCs w:val="18"/>
        </w:rPr>
        <w:t xml:space="preserve"> Section 504 of the Rehabilitation Act of 1973 (29 U.S.C. </w:t>
      </w:r>
      <w:r w:rsidR="000748A5" w:rsidRPr="002E14AC">
        <w:rPr>
          <w:sz w:val="18"/>
          <w:szCs w:val="18"/>
        </w:rPr>
        <w:t>§</w:t>
      </w:r>
      <w:r w:rsidRPr="002E14AC">
        <w:rPr>
          <w:sz w:val="18"/>
          <w:szCs w:val="18"/>
        </w:rPr>
        <w:t>794)</w:t>
      </w:r>
      <w:r w:rsidR="000748A5">
        <w:rPr>
          <w:sz w:val="18"/>
          <w:szCs w:val="18"/>
        </w:rPr>
        <w:t xml:space="preserve"> </w:t>
      </w:r>
    </w:p>
  </w:footnote>
  <w:footnote w:id="6">
    <w:p w14:paraId="185374C0" w14:textId="0420A26B" w:rsidR="00335440" w:rsidRPr="002E14AC" w:rsidRDefault="00335440">
      <w:pPr>
        <w:pStyle w:val="FootnoteText"/>
        <w:rPr>
          <w:sz w:val="18"/>
          <w:szCs w:val="18"/>
        </w:rPr>
      </w:pPr>
      <w:r w:rsidRPr="002E14AC">
        <w:rPr>
          <w:rStyle w:val="FootnoteReference"/>
          <w:sz w:val="18"/>
          <w:szCs w:val="18"/>
        </w:rPr>
        <w:footnoteRef/>
      </w:r>
      <w:r w:rsidRPr="002E14AC">
        <w:rPr>
          <w:sz w:val="18"/>
          <w:szCs w:val="18"/>
        </w:rPr>
        <w:t xml:space="preserve"> 41 CFR §60-1.4(b) and Executive Order </w:t>
      </w:r>
      <w:r w:rsidR="000748A5">
        <w:rPr>
          <w:sz w:val="18"/>
          <w:szCs w:val="18"/>
        </w:rPr>
        <w:t xml:space="preserve">No. </w:t>
      </w:r>
      <w:r w:rsidRPr="002E14AC">
        <w:rPr>
          <w:sz w:val="18"/>
          <w:szCs w:val="18"/>
        </w:rPr>
        <w:t>13672</w:t>
      </w:r>
    </w:p>
  </w:footnote>
  <w:footnote w:id="7">
    <w:p w14:paraId="24DA09D3" w14:textId="6EC93A7B" w:rsidR="00335440" w:rsidRDefault="00335440">
      <w:pPr>
        <w:pStyle w:val="FootnoteText"/>
      </w:pPr>
      <w:r w:rsidRPr="002E14AC">
        <w:rPr>
          <w:rStyle w:val="FootnoteReference"/>
          <w:sz w:val="18"/>
          <w:szCs w:val="18"/>
        </w:rPr>
        <w:footnoteRef/>
      </w:r>
      <w:r w:rsidRPr="002E14AC">
        <w:rPr>
          <w:sz w:val="18"/>
          <w:szCs w:val="18"/>
        </w:rPr>
        <w:t xml:space="preserve"> 41 §CFR 60-1.4(b)</w:t>
      </w:r>
    </w:p>
  </w:footnote>
  <w:footnote w:id="8">
    <w:p w14:paraId="2BA2516A" w14:textId="1F7E7E1C" w:rsidR="004038D3" w:rsidRDefault="004038D3">
      <w:pPr>
        <w:pStyle w:val="FootnoteText"/>
      </w:pPr>
      <w:r>
        <w:rPr>
          <w:rStyle w:val="FootnoteReference"/>
        </w:rPr>
        <w:footnoteRef/>
      </w:r>
      <w:r>
        <w:t xml:space="preserve"> </w:t>
      </w:r>
      <w:r w:rsidRPr="002865FD">
        <w:rPr>
          <w:sz w:val="18"/>
          <w:szCs w:val="18"/>
        </w:rPr>
        <w:t>24 CFR §8.4(a) implementing Section 504 of the Rehabilitation Act of 1973, as amended (29 USC 794)</w:t>
      </w:r>
    </w:p>
  </w:footnote>
  <w:footnote w:id="9">
    <w:p w14:paraId="5F7AF9F5" w14:textId="52B8B3BD" w:rsidR="004038D3" w:rsidRPr="002865FD" w:rsidRDefault="004038D3">
      <w:pPr>
        <w:pStyle w:val="FootnoteText"/>
        <w:rPr>
          <w:sz w:val="18"/>
          <w:szCs w:val="18"/>
        </w:rPr>
      </w:pPr>
      <w:r w:rsidRPr="002865FD">
        <w:rPr>
          <w:rStyle w:val="FootnoteReference"/>
          <w:sz w:val="18"/>
          <w:szCs w:val="18"/>
        </w:rPr>
        <w:footnoteRef/>
      </w:r>
      <w:r w:rsidRPr="002865FD">
        <w:rPr>
          <w:sz w:val="18"/>
          <w:szCs w:val="18"/>
        </w:rPr>
        <w:t xml:space="preserve"> 24 CFR §8.53</w:t>
      </w:r>
    </w:p>
  </w:footnote>
  <w:footnote w:id="10">
    <w:p w14:paraId="7CC119EB" w14:textId="575884B8" w:rsidR="004038D3" w:rsidRDefault="004038D3">
      <w:pPr>
        <w:pStyle w:val="FootnoteText"/>
      </w:pPr>
      <w:r w:rsidRPr="002865FD">
        <w:rPr>
          <w:rStyle w:val="FootnoteReference"/>
          <w:sz w:val="18"/>
          <w:szCs w:val="18"/>
        </w:rPr>
        <w:footnoteRef/>
      </w:r>
      <w:r w:rsidRPr="002865FD">
        <w:rPr>
          <w:sz w:val="18"/>
          <w:szCs w:val="18"/>
        </w:rPr>
        <w:t xml:space="preserve"> 24 CFR §8.51</w:t>
      </w:r>
    </w:p>
  </w:footnote>
  <w:footnote w:id="11">
    <w:p w14:paraId="14471C10" w14:textId="24208841" w:rsidR="00651C3E" w:rsidRPr="002865FD" w:rsidRDefault="00651C3E">
      <w:pPr>
        <w:pStyle w:val="FootnoteText"/>
        <w:rPr>
          <w:sz w:val="18"/>
          <w:szCs w:val="18"/>
        </w:rPr>
      </w:pPr>
      <w:r w:rsidRPr="002865FD">
        <w:rPr>
          <w:rStyle w:val="FootnoteReference"/>
          <w:sz w:val="18"/>
          <w:szCs w:val="18"/>
        </w:rPr>
        <w:footnoteRef/>
      </w:r>
      <w:r w:rsidRPr="002865FD">
        <w:rPr>
          <w:sz w:val="18"/>
          <w:szCs w:val="18"/>
        </w:rPr>
        <w:t xml:space="preserve"> </w:t>
      </w:r>
      <w:r w:rsidR="00F36FEB" w:rsidRPr="002865FD">
        <w:rPr>
          <w:sz w:val="18"/>
          <w:szCs w:val="18"/>
        </w:rPr>
        <w:t>16 TAC</w:t>
      </w:r>
      <w:r w:rsidRPr="002865FD">
        <w:rPr>
          <w:sz w:val="18"/>
          <w:szCs w:val="18"/>
        </w:rPr>
        <w:t xml:space="preserve"> Part 4</w:t>
      </w:r>
      <w:r w:rsidR="000748A5">
        <w:rPr>
          <w:sz w:val="18"/>
          <w:szCs w:val="18"/>
        </w:rPr>
        <w:t>,</w:t>
      </w:r>
      <w:r w:rsidR="002E14AC">
        <w:rPr>
          <w:sz w:val="18"/>
          <w:szCs w:val="18"/>
        </w:rPr>
        <w:t xml:space="preserve"> </w:t>
      </w:r>
      <w:r w:rsidRPr="002865FD">
        <w:rPr>
          <w:sz w:val="18"/>
          <w:szCs w:val="18"/>
        </w:rPr>
        <w:t>§68.10</w:t>
      </w:r>
    </w:p>
  </w:footnote>
  <w:footnote w:id="12">
    <w:p w14:paraId="7E0C0915" w14:textId="1B94EF4F" w:rsidR="00651C3E" w:rsidRDefault="00651C3E">
      <w:pPr>
        <w:pStyle w:val="FootnoteText"/>
      </w:pPr>
      <w:r w:rsidRPr="002865FD">
        <w:rPr>
          <w:rStyle w:val="FootnoteReference"/>
          <w:sz w:val="18"/>
          <w:szCs w:val="18"/>
        </w:rPr>
        <w:footnoteRef/>
      </w:r>
      <w:r w:rsidRPr="002865FD">
        <w:rPr>
          <w:sz w:val="18"/>
          <w:szCs w:val="18"/>
        </w:rPr>
        <w:t xml:space="preserve"> </w:t>
      </w:r>
      <w:r w:rsidRPr="002865FD">
        <w:rPr>
          <w:rFonts w:eastAsiaTheme="minorHAnsi"/>
          <w:sz w:val="18"/>
          <w:szCs w:val="18"/>
        </w:rPr>
        <w:t>Texas Government Cod</w:t>
      </w:r>
      <w:r w:rsidR="002E14AC">
        <w:rPr>
          <w:rFonts w:eastAsiaTheme="minorHAnsi"/>
          <w:sz w:val="18"/>
          <w:szCs w:val="18"/>
        </w:rPr>
        <w:t>e</w:t>
      </w:r>
      <w:r w:rsidR="000748A5">
        <w:rPr>
          <w:rFonts w:eastAsiaTheme="minorHAnsi"/>
          <w:sz w:val="18"/>
          <w:szCs w:val="18"/>
        </w:rPr>
        <w:t>,</w:t>
      </w:r>
      <w:r w:rsidR="002E14AC">
        <w:rPr>
          <w:rFonts w:eastAsiaTheme="minorHAnsi"/>
          <w:sz w:val="18"/>
          <w:szCs w:val="18"/>
        </w:rPr>
        <w:t xml:space="preserve"> </w:t>
      </w:r>
      <w:r w:rsidR="002E14AC" w:rsidRPr="002865FD">
        <w:rPr>
          <w:sz w:val="18"/>
          <w:szCs w:val="18"/>
        </w:rPr>
        <w:t>§</w:t>
      </w:r>
      <w:r w:rsidRPr="002865FD">
        <w:rPr>
          <w:rFonts w:eastAsiaTheme="minorHAnsi"/>
          <w:sz w:val="18"/>
          <w:szCs w:val="18"/>
        </w:rPr>
        <w:t>469.101</w:t>
      </w:r>
    </w:p>
  </w:footnote>
  <w:footnote w:id="13">
    <w:p w14:paraId="4D306D73" w14:textId="1D913E65" w:rsidR="00651C3E" w:rsidRPr="002865FD" w:rsidRDefault="00651C3E">
      <w:pPr>
        <w:pStyle w:val="FootnoteText"/>
        <w:rPr>
          <w:sz w:val="18"/>
          <w:szCs w:val="18"/>
        </w:rPr>
      </w:pPr>
      <w:r w:rsidRPr="002865FD">
        <w:rPr>
          <w:rStyle w:val="FootnoteReference"/>
          <w:sz w:val="18"/>
          <w:szCs w:val="18"/>
        </w:rPr>
        <w:footnoteRef/>
      </w:r>
      <w:r w:rsidRPr="002865FD">
        <w:rPr>
          <w:sz w:val="18"/>
          <w:szCs w:val="18"/>
        </w:rPr>
        <w:t xml:space="preserve"> State’s certification requirements at 24 CFR §91.325(b)(6)</w:t>
      </w:r>
    </w:p>
  </w:footnote>
  <w:footnote w:id="14">
    <w:p w14:paraId="524F8654" w14:textId="7B6A7202" w:rsidR="00651C3E" w:rsidRDefault="00651C3E">
      <w:pPr>
        <w:pStyle w:val="FootnoteText"/>
      </w:pPr>
      <w:r w:rsidRPr="002865FD">
        <w:rPr>
          <w:rStyle w:val="FootnoteReference"/>
          <w:sz w:val="18"/>
          <w:szCs w:val="18"/>
        </w:rPr>
        <w:footnoteRef/>
      </w:r>
      <w:r w:rsidRPr="002865FD">
        <w:rPr>
          <w:sz w:val="18"/>
          <w:szCs w:val="18"/>
        </w:rPr>
        <w:t xml:space="preserve"> 2 CFR §200.321</w:t>
      </w:r>
    </w:p>
  </w:footnote>
  <w:footnote w:id="15">
    <w:p w14:paraId="03A53E5E" w14:textId="41D7B54F" w:rsidR="00013691" w:rsidRDefault="00013691">
      <w:pPr>
        <w:pStyle w:val="FootnoteText"/>
      </w:pPr>
      <w:r>
        <w:rPr>
          <w:rStyle w:val="FootnoteReference"/>
        </w:rPr>
        <w:footnoteRef/>
      </w:r>
      <w:r>
        <w:t xml:space="preserve"> </w:t>
      </w:r>
      <w:r w:rsidRPr="002865FD">
        <w:rPr>
          <w:rFonts w:eastAsiaTheme="minorHAnsi"/>
          <w:sz w:val="18"/>
          <w:szCs w:val="18"/>
        </w:rPr>
        <w:t>24 CFR Part 75</w:t>
      </w:r>
    </w:p>
  </w:footnote>
  <w:footnote w:id="16">
    <w:p w14:paraId="73C3EEC9" w14:textId="3F92E738" w:rsidR="00EE50DF" w:rsidRDefault="00EE50DF">
      <w:pPr>
        <w:pStyle w:val="FootnoteText"/>
      </w:pPr>
      <w:r>
        <w:rPr>
          <w:rStyle w:val="FootnoteReference"/>
        </w:rPr>
        <w:footnoteRef/>
      </w:r>
      <w:r>
        <w:t xml:space="preserve"> </w:t>
      </w:r>
      <w:r w:rsidRPr="00EE50DF">
        <w:rPr>
          <w:rFonts w:eastAsiaTheme="minorHAnsi" w:cs="Arial"/>
          <w:color w:val="000000"/>
          <w:sz w:val="18"/>
          <w:szCs w:val="18"/>
        </w:rPr>
        <w:t>HUD’s Neighborhood Service Area Definition Tool</w:t>
      </w:r>
      <w:r w:rsidRPr="00EE50DF">
        <w:rPr>
          <w:sz w:val="18"/>
          <w:szCs w:val="18"/>
        </w:rPr>
        <w:t xml:space="preserve"> can be found at</w:t>
      </w:r>
      <w:r>
        <w:t xml:space="preserve"> </w:t>
      </w:r>
      <w:hyperlink r:id="rId1" w:history="1">
        <w:r w:rsidRPr="00EE50DF">
          <w:rPr>
            <w:rStyle w:val="Hyperlink"/>
          </w:rPr>
          <w:t>https://hud.maps.arcgis.com/apps/webappviewer/index.html?id=1d27b42dd64e4684ba74fe5bd00f9755</w:t>
        </w:r>
      </w:hyperlink>
    </w:p>
  </w:footnote>
  <w:footnote w:id="17">
    <w:p w14:paraId="128DB128" w14:textId="491A5968" w:rsidR="0028218E" w:rsidRDefault="0028218E">
      <w:pPr>
        <w:pStyle w:val="FootnoteText"/>
      </w:pPr>
      <w:r>
        <w:rPr>
          <w:rStyle w:val="FootnoteReference"/>
        </w:rPr>
        <w:footnoteRef/>
      </w:r>
      <w:r>
        <w:t xml:space="preserve"> </w:t>
      </w:r>
      <w:hyperlink r:id="rId2" w:history="1">
        <w:r w:rsidRPr="0028218E">
          <w:rPr>
            <w:rStyle w:val="Hyperlink"/>
            <w:sz w:val="18"/>
            <w:szCs w:val="18"/>
          </w:rPr>
          <w:t>https://texasagriculture.gov/Grants-Services/Rural-Economic-Development/Rural-Community-Development-Block-Grant-CDBG/CDBG-Resources/Beneficiary-Documentation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8222418"/>
      <w:docPartObj>
        <w:docPartGallery w:val="Watermarks"/>
        <w:docPartUnique/>
      </w:docPartObj>
    </w:sdtPr>
    <w:sdtContent>
      <w:p w14:paraId="2A8652FF" w14:textId="6ED4554C" w:rsidR="003122C2" w:rsidRDefault="0040309F">
        <w:pPr>
          <w:pStyle w:val="Header"/>
        </w:pPr>
        <w:r>
          <w:rPr>
            <w:noProof/>
          </w:rPr>
          <w:pict w14:anchorId="515D3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0D49"/>
    <w:multiLevelType w:val="hybridMultilevel"/>
    <w:tmpl w:val="BF744B38"/>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194508"/>
    <w:multiLevelType w:val="hybridMultilevel"/>
    <w:tmpl w:val="5C16491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2D4F1A"/>
    <w:multiLevelType w:val="hybridMultilevel"/>
    <w:tmpl w:val="5F1E901A"/>
    <w:lvl w:ilvl="0" w:tplc="484880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B2A02"/>
    <w:multiLevelType w:val="hybridMultilevel"/>
    <w:tmpl w:val="A642C488"/>
    <w:lvl w:ilvl="0" w:tplc="6972D8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7427"/>
    <w:multiLevelType w:val="hybridMultilevel"/>
    <w:tmpl w:val="05BC71AE"/>
    <w:lvl w:ilvl="0" w:tplc="04090001">
      <w:start w:val="1"/>
      <w:numFmt w:val="bullet"/>
      <w:lvlText w:val=""/>
      <w:lvlJc w:val="left"/>
      <w:pPr>
        <w:ind w:left="3960" w:hanging="360"/>
      </w:pPr>
      <w:rPr>
        <w:rFonts w:ascii="Symbol" w:hAnsi="Symbol"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5" w15:restartNumberingAfterBreak="0">
    <w:nsid w:val="1E071867"/>
    <w:multiLevelType w:val="hybridMultilevel"/>
    <w:tmpl w:val="041CE0EA"/>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4563713"/>
    <w:multiLevelType w:val="hybridMultilevel"/>
    <w:tmpl w:val="079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A4364"/>
    <w:multiLevelType w:val="hybridMultilevel"/>
    <w:tmpl w:val="BE5EBCD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A374A9B"/>
    <w:multiLevelType w:val="hybridMultilevel"/>
    <w:tmpl w:val="FCB40A2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EA324632">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15:restartNumberingAfterBreak="0">
    <w:nsid w:val="2CE164C7"/>
    <w:multiLevelType w:val="hybridMultilevel"/>
    <w:tmpl w:val="F856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72564"/>
    <w:multiLevelType w:val="hybridMultilevel"/>
    <w:tmpl w:val="D9B0DDC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0D6E31"/>
    <w:multiLevelType w:val="hybridMultilevel"/>
    <w:tmpl w:val="58B2F678"/>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E7028AC"/>
    <w:multiLevelType w:val="hybridMultilevel"/>
    <w:tmpl w:val="964C5634"/>
    <w:lvl w:ilvl="0" w:tplc="FFFFFFFF">
      <w:start w:val="1"/>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15:restartNumberingAfterBreak="0">
    <w:nsid w:val="31401078"/>
    <w:multiLevelType w:val="hybridMultilevel"/>
    <w:tmpl w:val="1E62DF0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D65C5A"/>
    <w:multiLevelType w:val="hybridMultilevel"/>
    <w:tmpl w:val="2B98DB2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8F36B0"/>
    <w:multiLevelType w:val="hybridMultilevel"/>
    <w:tmpl w:val="96DCE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744284"/>
    <w:multiLevelType w:val="hybridMultilevel"/>
    <w:tmpl w:val="A642A998"/>
    <w:lvl w:ilvl="0" w:tplc="04090003">
      <w:start w:val="1"/>
      <w:numFmt w:val="bullet"/>
      <w:pStyle w:val="CDGBBullets-1stinden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F77341"/>
    <w:multiLevelType w:val="hybridMultilevel"/>
    <w:tmpl w:val="60202F2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341217"/>
    <w:multiLevelType w:val="hybridMultilevel"/>
    <w:tmpl w:val="3F866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21DD"/>
    <w:multiLevelType w:val="hybridMultilevel"/>
    <w:tmpl w:val="8FA2DF8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7E25C1"/>
    <w:multiLevelType w:val="hybridMultilevel"/>
    <w:tmpl w:val="8A288A42"/>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B22D95"/>
    <w:multiLevelType w:val="hybridMultilevel"/>
    <w:tmpl w:val="EEE445A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Wingdings" w:hAnsi="Wingdings" w:hint="default"/>
      </w:rPr>
    </w:lvl>
    <w:lvl w:ilvl="2" w:tplc="FFFFFFFF">
      <w:start w:val="1"/>
      <w:numFmt w:val="bullet"/>
      <w:lvlText w:val=""/>
      <w:lvlJc w:val="left"/>
      <w:pPr>
        <w:ind w:left="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742B60"/>
    <w:multiLevelType w:val="hybridMultilevel"/>
    <w:tmpl w:val="F334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D2924"/>
    <w:multiLevelType w:val="hybridMultilevel"/>
    <w:tmpl w:val="91CCAF3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15:restartNumberingAfterBreak="0">
    <w:nsid w:val="61EF47B0"/>
    <w:multiLevelType w:val="hybridMultilevel"/>
    <w:tmpl w:val="44D04AD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5451AB"/>
    <w:multiLevelType w:val="hybridMultilevel"/>
    <w:tmpl w:val="CB10D236"/>
    <w:lvl w:ilvl="0" w:tplc="FFFFFFFF">
      <w:start w:val="1"/>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6" w15:restartNumberingAfterBreak="0">
    <w:nsid w:val="648C1311"/>
    <w:multiLevelType w:val="hybridMultilevel"/>
    <w:tmpl w:val="E6747DF6"/>
    <w:lvl w:ilvl="0" w:tplc="FFFFFFFF">
      <w:start w:val="1"/>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7" w15:restartNumberingAfterBreak="0">
    <w:nsid w:val="653F672B"/>
    <w:multiLevelType w:val="hybridMultilevel"/>
    <w:tmpl w:val="722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5119D"/>
    <w:multiLevelType w:val="hybridMultilevel"/>
    <w:tmpl w:val="CB82F600"/>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7DD547A"/>
    <w:multiLevelType w:val="hybridMultilevel"/>
    <w:tmpl w:val="73BA47C0"/>
    <w:lvl w:ilvl="0" w:tplc="FFFFFFFF">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D33E66"/>
    <w:multiLevelType w:val="hybridMultilevel"/>
    <w:tmpl w:val="311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2BD9"/>
    <w:multiLevelType w:val="hybridMultilevel"/>
    <w:tmpl w:val="428A0BD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F276A13"/>
    <w:multiLevelType w:val="hybridMultilevel"/>
    <w:tmpl w:val="60DC3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6D5398"/>
    <w:multiLevelType w:val="hybridMultilevel"/>
    <w:tmpl w:val="39EC6E8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090D75"/>
    <w:multiLevelType w:val="hybridMultilevel"/>
    <w:tmpl w:val="0DB07C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57561A"/>
    <w:multiLevelType w:val="hybridMultilevel"/>
    <w:tmpl w:val="46B893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86276F"/>
    <w:multiLevelType w:val="hybridMultilevel"/>
    <w:tmpl w:val="2396BA0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97084293">
    <w:abstractNumId w:val="16"/>
  </w:num>
  <w:num w:numId="2" w16cid:durableId="1053113123">
    <w:abstractNumId w:val="28"/>
  </w:num>
  <w:num w:numId="3" w16cid:durableId="2073308469">
    <w:abstractNumId w:val="2"/>
  </w:num>
  <w:num w:numId="4" w16cid:durableId="850606519">
    <w:abstractNumId w:val="27"/>
  </w:num>
  <w:num w:numId="5" w16cid:durableId="1370689709">
    <w:abstractNumId w:val="32"/>
  </w:num>
  <w:num w:numId="6" w16cid:durableId="1699353688">
    <w:abstractNumId w:val="35"/>
  </w:num>
  <w:num w:numId="7" w16cid:durableId="253980941">
    <w:abstractNumId w:val="7"/>
  </w:num>
  <w:num w:numId="8" w16cid:durableId="510488167">
    <w:abstractNumId w:val="11"/>
  </w:num>
  <w:num w:numId="9" w16cid:durableId="1516965929">
    <w:abstractNumId w:val="31"/>
  </w:num>
  <w:num w:numId="10" w16cid:durableId="1813519438">
    <w:abstractNumId w:val="5"/>
  </w:num>
  <w:num w:numId="11" w16cid:durableId="1392920752">
    <w:abstractNumId w:val="8"/>
  </w:num>
  <w:num w:numId="12" w16cid:durableId="1314021424">
    <w:abstractNumId w:val="25"/>
  </w:num>
  <w:num w:numId="13" w16cid:durableId="174737154">
    <w:abstractNumId w:val="12"/>
  </w:num>
  <w:num w:numId="14" w16cid:durableId="926884108">
    <w:abstractNumId w:val="26"/>
  </w:num>
  <w:num w:numId="15" w16cid:durableId="2036536342">
    <w:abstractNumId w:val="23"/>
  </w:num>
  <w:num w:numId="16" w16cid:durableId="2101219485">
    <w:abstractNumId w:val="13"/>
  </w:num>
  <w:num w:numId="17" w16cid:durableId="102893818">
    <w:abstractNumId w:val="34"/>
  </w:num>
  <w:num w:numId="18" w16cid:durableId="156728409">
    <w:abstractNumId w:val="3"/>
  </w:num>
  <w:num w:numId="19" w16cid:durableId="1439182189">
    <w:abstractNumId w:val="0"/>
  </w:num>
  <w:num w:numId="20" w16cid:durableId="471951294">
    <w:abstractNumId w:val="15"/>
  </w:num>
  <w:num w:numId="21" w16cid:durableId="552814203">
    <w:abstractNumId w:val="6"/>
  </w:num>
  <w:num w:numId="22" w16cid:durableId="837229860">
    <w:abstractNumId w:val="33"/>
  </w:num>
  <w:num w:numId="23" w16cid:durableId="623541609">
    <w:abstractNumId w:val="10"/>
  </w:num>
  <w:num w:numId="24" w16cid:durableId="1521621708">
    <w:abstractNumId w:val="19"/>
  </w:num>
  <w:num w:numId="25" w16cid:durableId="686097515">
    <w:abstractNumId w:val="9"/>
  </w:num>
  <w:num w:numId="26" w16cid:durableId="116071944">
    <w:abstractNumId w:val="20"/>
  </w:num>
  <w:num w:numId="27" w16cid:durableId="779571203">
    <w:abstractNumId w:val="18"/>
  </w:num>
  <w:num w:numId="28" w16cid:durableId="351763616">
    <w:abstractNumId w:val="22"/>
  </w:num>
  <w:num w:numId="29" w16cid:durableId="2122871819">
    <w:abstractNumId w:val="24"/>
  </w:num>
  <w:num w:numId="30" w16cid:durableId="1555585279">
    <w:abstractNumId w:val="4"/>
  </w:num>
  <w:num w:numId="31" w16cid:durableId="1678996880">
    <w:abstractNumId w:val="21"/>
  </w:num>
  <w:num w:numId="32" w16cid:durableId="509611520">
    <w:abstractNumId w:val="29"/>
  </w:num>
  <w:num w:numId="33" w16cid:durableId="1457141060">
    <w:abstractNumId w:val="17"/>
  </w:num>
  <w:num w:numId="34" w16cid:durableId="1926717745">
    <w:abstractNumId w:val="30"/>
  </w:num>
  <w:num w:numId="35" w16cid:durableId="28266004">
    <w:abstractNumId w:val="1"/>
  </w:num>
  <w:num w:numId="36" w16cid:durableId="609320828">
    <w:abstractNumId w:val="14"/>
  </w:num>
  <w:num w:numId="37" w16cid:durableId="211347447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46"/>
    <w:rsid w:val="0000152F"/>
    <w:rsid w:val="00003CF2"/>
    <w:rsid w:val="00004707"/>
    <w:rsid w:val="00013691"/>
    <w:rsid w:val="000172B4"/>
    <w:rsid w:val="00046331"/>
    <w:rsid w:val="00047ED9"/>
    <w:rsid w:val="00051C60"/>
    <w:rsid w:val="00056AA6"/>
    <w:rsid w:val="0006107E"/>
    <w:rsid w:val="000646DE"/>
    <w:rsid w:val="0006583E"/>
    <w:rsid w:val="000748A5"/>
    <w:rsid w:val="000C50C1"/>
    <w:rsid w:val="000C71E0"/>
    <w:rsid w:val="000D172A"/>
    <w:rsid w:val="000D339C"/>
    <w:rsid w:val="000D73BA"/>
    <w:rsid w:val="000E0A45"/>
    <w:rsid w:val="000F18E0"/>
    <w:rsid w:val="000F5CD7"/>
    <w:rsid w:val="0010551D"/>
    <w:rsid w:val="00112F90"/>
    <w:rsid w:val="00123C61"/>
    <w:rsid w:val="00153677"/>
    <w:rsid w:val="00154F7C"/>
    <w:rsid w:val="00156005"/>
    <w:rsid w:val="00167A80"/>
    <w:rsid w:val="00192E34"/>
    <w:rsid w:val="00193A85"/>
    <w:rsid w:val="001B2797"/>
    <w:rsid w:val="001B5250"/>
    <w:rsid w:val="001C35EC"/>
    <w:rsid w:val="001D5ED1"/>
    <w:rsid w:val="001F47B5"/>
    <w:rsid w:val="00204969"/>
    <w:rsid w:val="00212055"/>
    <w:rsid w:val="00233F03"/>
    <w:rsid w:val="00252C65"/>
    <w:rsid w:val="002659A0"/>
    <w:rsid w:val="00266FF9"/>
    <w:rsid w:val="00270A76"/>
    <w:rsid w:val="00281CFB"/>
    <w:rsid w:val="0028218E"/>
    <w:rsid w:val="002849EA"/>
    <w:rsid w:val="002865FD"/>
    <w:rsid w:val="00286881"/>
    <w:rsid w:val="002A6333"/>
    <w:rsid w:val="002C2916"/>
    <w:rsid w:val="002C2AA5"/>
    <w:rsid w:val="002C68A1"/>
    <w:rsid w:val="002D5535"/>
    <w:rsid w:val="002E14AC"/>
    <w:rsid w:val="002F51D7"/>
    <w:rsid w:val="003119AC"/>
    <w:rsid w:val="003122C2"/>
    <w:rsid w:val="003124DF"/>
    <w:rsid w:val="00326D09"/>
    <w:rsid w:val="00327D27"/>
    <w:rsid w:val="00335440"/>
    <w:rsid w:val="00344931"/>
    <w:rsid w:val="00352DD8"/>
    <w:rsid w:val="00366677"/>
    <w:rsid w:val="00370FF2"/>
    <w:rsid w:val="003718F5"/>
    <w:rsid w:val="0037529C"/>
    <w:rsid w:val="003829DE"/>
    <w:rsid w:val="003A2F72"/>
    <w:rsid w:val="003A3376"/>
    <w:rsid w:val="003A6D71"/>
    <w:rsid w:val="003B04E4"/>
    <w:rsid w:val="003C02EC"/>
    <w:rsid w:val="003C21A1"/>
    <w:rsid w:val="003D4334"/>
    <w:rsid w:val="003E28A8"/>
    <w:rsid w:val="003E7270"/>
    <w:rsid w:val="003F51E4"/>
    <w:rsid w:val="003F55C0"/>
    <w:rsid w:val="00401100"/>
    <w:rsid w:val="0040309F"/>
    <w:rsid w:val="004038D3"/>
    <w:rsid w:val="004078EE"/>
    <w:rsid w:val="00412479"/>
    <w:rsid w:val="00413311"/>
    <w:rsid w:val="00414D50"/>
    <w:rsid w:val="004304C1"/>
    <w:rsid w:val="00443948"/>
    <w:rsid w:val="0044419E"/>
    <w:rsid w:val="00444C5D"/>
    <w:rsid w:val="004500B3"/>
    <w:rsid w:val="00461B7D"/>
    <w:rsid w:val="00464681"/>
    <w:rsid w:val="00467799"/>
    <w:rsid w:val="0046798A"/>
    <w:rsid w:val="004C30D1"/>
    <w:rsid w:val="004D14D3"/>
    <w:rsid w:val="004E3353"/>
    <w:rsid w:val="005230F1"/>
    <w:rsid w:val="0052660E"/>
    <w:rsid w:val="00536716"/>
    <w:rsid w:val="00536C6E"/>
    <w:rsid w:val="00537A99"/>
    <w:rsid w:val="0054424C"/>
    <w:rsid w:val="0057500C"/>
    <w:rsid w:val="00586E2C"/>
    <w:rsid w:val="00587DAB"/>
    <w:rsid w:val="005941CC"/>
    <w:rsid w:val="00597D53"/>
    <w:rsid w:val="005B032C"/>
    <w:rsid w:val="005B093A"/>
    <w:rsid w:val="005B4ED4"/>
    <w:rsid w:val="005B674D"/>
    <w:rsid w:val="005C1A73"/>
    <w:rsid w:val="005D00B8"/>
    <w:rsid w:val="005D6640"/>
    <w:rsid w:val="005F51E3"/>
    <w:rsid w:val="006166F0"/>
    <w:rsid w:val="00621275"/>
    <w:rsid w:val="0062413E"/>
    <w:rsid w:val="00625EE8"/>
    <w:rsid w:val="0063491A"/>
    <w:rsid w:val="00636FF6"/>
    <w:rsid w:val="00650E48"/>
    <w:rsid w:val="00651C3E"/>
    <w:rsid w:val="00656E6F"/>
    <w:rsid w:val="00661B29"/>
    <w:rsid w:val="0066396E"/>
    <w:rsid w:val="006809A9"/>
    <w:rsid w:val="00696A35"/>
    <w:rsid w:val="006C56CE"/>
    <w:rsid w:val="006D516C"/>
    <w:rsid w:val="006E1769"/>
    <w:rsid w:val="006E5D14"/>
    <w:rsid w:val="006E6D46"/>
    <w:rsid w:val="006F0C6E"/>
    <w:rsid w:val="006F21C6"/>
    <w:rsid w:val="007031D2"/>
    <w:rsid w:val="00706E16"/>
    <w:rsid w:val="00707666"/>
    <w:rsid w:val="00726ED3"/>
    <w:rsid w:val="00732455"/>
    <w:rsid w:val="00761BB5"/>
    <w:rsid w:val="0076768F"/>
    <w:rsid w:val="00767A05"/>
    <w:rsid w:val="007722E3"/>
    <w:rsid w:val="00774194"/>
    <w:rsid w:val="00776FAC"/>
    <w:rsid w:val="007807CD"/>
    <w:rsid w:val="00792CE7"/>
    <w:rsid w:val="007B1DC7"/>
    <w:rsid w:val="007C4B4D"/>
    <w:rsid w:val="007D1C52"/>
    <w:rsid w:val="007D1DAD"/>
    <w:rsid w:val="007E5800"/>
    <w:rsid w:val="007F0488"/>
    <w:rsid w:val="00801D75"/>
    <w:rsid w:val="00823588"/>
    <w:rsid w:val="0082756E"/>
    <w:rsid w:val="008277E9"/>
    <w:rsid w:val="00846C94"/>
    <w:rsid w:val="0086623A"/>
    <w:rsid w:val="00872A37"/>
    <w:rsid w:val="00893EF9"/>
    <w:rsid w:val="008B24B2"/>
    <w:rsid w:val="008B462E"/>
    <w:rsid w:val="008B57D8"/>
    <w:rsid w:val="008D14D9"/>
    <w:rsid w:val="008E2D20"/>
    <w:rsid w:val="008E5FED"/>
    <w:rsid w:val="008E669E"/>
    <w:rsid w:val="008E7058"/>
    <w:rsid w:val="008F035E"/>
    <w:rsid w:val="00913EF0"/>
    <w:rsid w:val="009221DB"/>
    <w:rsid w:val="00933DF7"/>
    <w:rsid w:val="00935B12"/>
    <w:rsid w:val="009400BC"/>
    <w:rsid w:val="00960D2A"/>
    <w:rsid w:val="00961A4C"/>
    <w:rsid w:val="009770B8"/>
    <w:rsid w:val="009A3478"/>
    <w:rsid w:val="009B27AE"/>
    <w:rsid w:val="009D4D6B"/>
    <w:rsid w:val="009E70DE"/>
    <w:rsid w:val="009F044D"/>
    <w:rsid w:val="009F38D8"/>
    <w:rsid w:val="009F56DF"/>
    <w:rsid w:val="009F575A"/>
    <w:rsid w:val="00A12664"/>
    <w:rsid w:val="00A17F50"/>
    <w:rsid w:val="00A52032"/>
    <w:rsid w:val="00A53DCC"/>
    <w:rsid w:val="00A61712"/>
    <w:rsid w:val="00A72657"/>
    <w:rsid w:val="00AA21C8"/>
    <w:rsid w:val="00AA505F"/>
    <w:rsid w:val="00AB59C6"/>
    <w:rsid w:val="00AC2C07"/>
    <w:rsid w:val="00AD7B6E"/>
    <w:rsid w:val="00AF6FCF"/>
    <w:rsid w:val="00B32B5C"/>
    <w:rsid w:val="00B35EFE"/>
    <w:rsid w:val="00B37D38"/>
    <w:rsid w:val="00B402F8"/>
    <w:rsid w:val="00B45895"/>
    <w:rsid w:val="00B55264"/>
    <w:rsid w:val="00B6556A"/>
    <w:rsid w:val="00B74C73"/>
    <w:rsid w:val="00B7778C"/>
    <w:rsid w:val="00B8160A"/>
    <w:rsid w:val="00BA12D6"/>
    <w:rsid w:val="00BA651B"/>
    <w:rsid w:val="00BB37BC"/>
    <w:rsid w:val="00BC0D75"/>
    <w:rsid w:val="00BF4330"/>
    <w:rsid w:val="00C331D5"/>
    <w:rsid w:val="00C55EA3"/>
    <w:rsid w:val="00C73544"/>
    <w:rsid w:val="00C76479"/>
    <w:rsid w:val="00C818C3"/>
    <w:rsid w:val="00C873B3"/>
    <w:rsid w:val="00CA3884"/>
    <w:rsid w:val="00CB4921"/>
    <w:rsid w:val="00CC2F2A"/>
    <w:rsid w:val="00CC5E1D"/>
    <w:rsid w:val="00D05964"/>
    <w:rsid w:val="00D07444"/>
    <w:rsid w:val="00D2290B"/>
    <w:rsid w:val="00D315F2"/>
    <w:rsid w:val="00D3591D"/>
    <w:rsid w:val="00D47E61"/>
    <w:rsid w:val="00D52F50"/>
    <w:rsid w:val="00D746FF"/>
    <w:rsid w:val="00D754F8"/>
    <w:rsid w:val="00D878EC"/>
    <w:rsid w:val="00D94519"/>
    <w:rsid w:val="00D979FE"/>
    <w:rsid w:val="00DA0EB2"/>
    <w:rsid w:val="00DA1331"/>
    <w:rsid w:val="00DA2BA8"/>
    <w:rsid w:val="00DA5BC1"/>
    <w:rsid w:val="00DB656A"/>
    <w:rsid w:val="00DD1687"/>
    <w:rsid w:val="00DD505F"/>
    <w:rsid w:val="00DD69C0"/>
    <w:rsid w:val="00DE10C2"/>
    <w:rsid w:val="00DE5E75"/>
    <w:rsid w:val="00E000F3"/>
    <w:rsid w:val="00E04036"/>
    <w:rsid w:val="00E252A7"/>
    <w:rsid w:val="00E265DC"/>
    <w:rsid w:val="00E27650"/>
    <w:rsid w:val="00E36046"/>
    <w:rsid w:val="00E40186"/>
    <w:rsid w:val="00E65EC7"/>
    <w:rsid w:val="00E74169"/>
    <w:rsid w:val="00E87AF7"/>
    <w:rsid w:val="00EB71F7"/>
    <w:rsid w:val="00EC2756"/>
    <w:rsid w:val="00ED150A"/>
    <w:rsid w:val="00EE3745"/>
    <w:rsid w:val="00EE50DF"/>
    <w:rsid w:val="00EF562A"/>
    <w:rsid w:val="00F06367"/>
    <w:rsid w:val="00F0713C"/>
    <w:rsid w:val="00F12E37"/>
    <w:rsid w:val="00F13EA4"/>
    <w:rsid w:val="00F270EC"/>
    <w:rsid w:val="00F36FEB"/>
    <w:rsid w:val="00F47531"/>
    <w:rsid w:val="00F47A72"/>
    <w:rsid w:val="00F50373"/>
    <w:rsid w:val="00F546E7"/>
    <w:rsid w:val="00F55A17"/>
    <w:rsid w:val="00F677DD"/>
    <w:rsid w:val="00F70AAD"/>
    <w:rsid w:val="00F74A6B"/>
    <w:rsid w:val="00F82046"/>
    <w:rsid w:val="00F827F7"/>
    <w:rsid w:val="00F8388D"/>
    <w:rsid w:val="00F83C59"/>
    <w:rsid w:val="00F86461"/>
    <w:rsid w:val="00FB01FF"/>
    <w:rsid w:val="00FD015E"/>
    <w:rsid w:val="00FF52BE"/>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DD44"/>
  <w15:chartTrackingRefBased/>
  <w15:docId w15:val="{2E6638F7-39A1-4E42-84F3-44A9048B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40"/>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FD015E"/>
    <w:pPr>
      <w:keepNext/>
      <w:keepLines/>
      <w:spacing w:before="240"/>
      <w:jc w:val="center"/>
      <w:outlineLvl w:val="0"/>
    </w:pPr>
    <w:rPr>
      <w:rFonts w:eastAsiaTheme="majorEastAsia" w:cstheme="majorBidi"/>
      <w:b/>
      <w:sz w:val="40"/>
      <w:szCs w:val="32"/>
      <w:u w:val="single"/>
    </w:rPr>
  </w:style>
  <w:style w:type="paragraph" w:styleId="Heading2">
    <w:name w:val="heading 2"/>
    <w:basedOn w:val="Normal"/>
    <w:next w:val="Normal"/>
    <w:link w:val="Heading2Char"/>
    <w:uiPriority w:val="9"/>
    <w:unhideWhenUsed/>
    <w:qFormat/>
    <w:rsid w:val="00335440"/>
    <w:pPr>
      <w:keepNext/>
      <w:keepLines/>
      <w:spacing w:before="40"/>
      <w:outlineLvl w:val="1"/>
    </w:pPr>
    <w:rPr>
      <w:rFonts w:eastAsiaTheme="majorEastAsia"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GBBullets-1stindent">
    <w:name w:val="CDGB Bullets-1st indent"/>
    <w:basedOn w:val="Normal"/>
    <w:qFormat/>
    <w:rsid w:val="006E6D46"/>
    <w:pPr>
      <w:numPr>
        <w:numId w:val="1"/>
      </w:numPr>
      <w:autoSpaceDE w:val="0"/>
      <w:autoSpaceDN w:val="0"/>
      <w:adjustRightInd w:val="0"/>
      <w:spacing w:line="280" w:lineRule="exact"/>
    </w:pPr>
    <w:rPr>
      <w:rFonts w:cs="Arial"/>
      <w:bCs/>
      <w:szCs w:val="22"/>
    </w:rPr>
  </w:style>
  <w:style w:type="paragraph" w:customStyle="1" w:styleId="ChapterTitleCenArial26">
    <w:name w:val="Chapter Title Cen Arial 26"/>
    <w:basedOn w:val="Title"/>
    <w:qFormat/>
    <w:rsid w:val="006E6D46"/>
    <w:pPr>
      <w:contextualSpacing w:val="0"/>
      <w:jc w:val="center"/>
    </w:pPr>
    <w:rPr>
      <w:rFonts w:ascii="Arial" w:eastAsia="Times New Roman" w:hAnsi="Arial" w:cs="Arial"/>
      <w:b/>
      <w:spacing w:val="0"/>
      <w:kern w:val="0"/>
      <w:sz w:val="52"/>
      <w:szCs w:val="52"/>
    </w:rPr>
  </w:style>
  <w:style w:type="paragraph" w:customStyle="1" w:styleId="CDGBBODYSTYLE">
    <w:name w:val="CDGB BODY STYLE"/>
    <w:basedOn w:val="Normal"/>
    <w:qFormat/>
    <w:rsid w:val="006E6D46"/>
    <w:pPr>
      <w:spacing w:line="280" w:lineRule="exact"/>
      <w:jc w:val="both"/>
    </w:pPr>
    <w:rPr>
      <w:rFonts w:cs="Arial"/>
      <w:szCs w:val="22"/>
    </w:rPr>
  </w:style>
  <w:style w:type="paragraph" w:styleId="Title">
    <w:name w:val="Title"/>
    <w:basedOn w:val="Normal"/>
    <w:next w:val="Normal"/>
    <w:link w:val="TitleChar"/>
    <w:uiPriority w:val="10"/>
    <w:qFormat/>
    <w:rsid w:val="006E6D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D46"/>
    <w:rPr>
      <w:rFonts w:asciiTheme="majorHAnsi" w:eastAsiaTheme="majorEastAsia" w:hAnsiTheme="majorHAnsi" w:cstheme="majorBidi"/>
      <w:spacing w:val="-10"/>
      <w:kern w:val="28"/>
      <w:sz w:val="56"/>
      <w:szCs w:val="56"/>
    </w:rPr>
  </w:style>
  <w:style w:type="table" w:styleId="TableGrid">
    <w:name w:val="Table Grid"/>
    <w:basedOn w:val="TableNormal"/>
    <w:rsid w:val="000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GBBoldArial11">
    <w:name w:val="CDGB Bold Arial 11"/>
    <w:basedOn w:val="CDGBBullets-1stindent"/>
    <w:qFormat/>
    <w:rsid w:val="003718F5"/>
    <w:pPr>
      <w:numPr>
        <w:numId w:val="0"/>
      </w:numPr>
    </w:pPr>
    <w:rPr>
      <w:b/>
      <w:bCs w:val="0"/>
    </w:rPr>
  </w:style>
  <w:style w:type="character" w:customStyle="1" w:styleId="Heading2Char">
    <w:name w:val="Heading 2 Char"/>
    <w:basedOn w:val="DefaultParagraphFont"/>
    <w:link w:val="Heading2"/>
    <w:uiPriority w:val="9"/>
    <w:rsid w:val="00335440"/>
    <w:rPr>
      <w:rFonts w:ascii="Arial" w:eastAsiaTheme="majorEastAsia" w:hAnsi="Arial" w:cstheme="majorBidi"/>
      <w:b/>
      <w:sz w:val="28"/>
      <w:szCs w:val="26"/>
      <w:u w:val="single"/>
    </w:rPr>
  </w:style>
  <w:style w:type="character" w:customStyle="1" w:styleId="Heading1Char">
    <w:name w:val="Heading 1 Char"/>
    <w:basedOn w:val="DefaultParagraphFont"/>
    <w:link w:val="Heading1"/>
    <w:uiPriority w:val="9"/>
    <w:rsid w:val="00FD015E"/>
    <w:rPr>
      <w:rFonts w:ascii="Arial" w:eastAsiaTheme="majorEastAsia" w:hAnsi="Arial" w:cstheme="majorBidi"/>
      <w:b/>
      <w:sz w:val="40"/>
      <w:szCs w:val="32"/>
      <w:u w:val="single"/>
    </w:rPr>
  </w:style>
  <w:style w:type="character" w:styleId="Hyperlink">
    <w:name w:val="Hyperlink"/>
    <w:basedOn w:val="DefaultParagraphFont"/>
    <w:uiPriority w:val="99"/>
    <w:rsid w:val="00153677"/>
    <w:rPr>
      <w:rFonts w:cs="Times New Roman"/>
      <w:color w:val="0000FF"/>
      <w:u w:val="single"/>
    </w:rPr>
  </w:style>
  <w:style w:type="paragraph" w:customStyle="1" w:styleId="Default">
    <w:name w:val="Default"/>
    <w:rsid w:val="00C55EA3"/>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text-18">
    <w:name w:val="ptext-18"/>
    <w:basedOn w:val="DefaultParagraphFont"/>
    <w:rsid w:val="00C55EA3"/>
  </w:style>
  <w:style w:type="character" w:styleId="Strong">
    <w:name w:val="Strong"/>
    <w:basedOn w:val="DefaultParagraphFont"/>
    <w:uiPriority w:val="22"/>
    <w:qFormat/>
    <w:rsid w:val="00C55EA3"/>
    <w:rPr>
      <w:rFonts w:cs="Times New Roman"/>
      <w:b/>
    </w:rPr>
  </w:style>
  <w:style w:type="character" w:styleId="CommentReference">
    <w:name w:val="annotation reference"/>
    <w:basedOn w:val="DefaultParagraphFont"/>
    <w:rsid w:val="00C55EA3"/>
    <w:rPr>
      <w:sz w:val="16"/>
      <w:szCs w:val="16"/>
    </w:rPr>
  </w:style>
  <w:style w:type="paragraph" w:styleId="CommentText">
    <w:name w:val="annotation text"/>
    <w:basedOn w:val="Normal"/>
    <w:link w:val="CommentTextChar"/>
    <w:rsid w:val="00C55EA3"/>
    <w:rPr>
      <w:sz w:val="20"/>
      <w:szCs w:val="20"/>
    </w:rPr>
  </w:style>
  <w:style w:type="character" w:customStyle="1" w:styleId="CommentTextChar">
    <w:name w:val="Comment Text Char"/>
    <w:basedOn w:val="DefaultParagraphFont"/>
    <w:link w:val="CommentText"/>
    <w:rsid w:val="00C55EA3"/>
    <w:rPr>
      <w:rFonts w:ascii="Times New Roman" w:eastAsia="Times New Roman" w:hAnsi="Times New Roman" w:cs="Times New Roman"/>
      <w:sz w:val="20"/>
      <w:szCs w:val="20"/>
    </w:rPr>
  </w:style>
  <w:style w:type="paragraph" w:styleId="BodyText">
    <w:name w:val="Body Text"/>
    <w:basedOn w:val="Normal"/>
    <w:link w:val="BodyTextChar"/>
    <w:uiPriority w:val="99"/>
    <w:rsid w:val="00252C65"/>
    <w:rPr>
      <w:rFonts w:cs="Arial"/>
      <w:sz w:val="28"/>
      <w:szCs w:val="28"/>
    </w:rPr>
  </w:style>
  <w:style w:type="character" w:customStyle="1" w:styleId="BodyTextChar">
    <w:name w:val="Body Text Char"/>
    <w:basedOn w:val="DefaultParagraphFont"/>
    <w:link w:val="BodyText"/>
    <w:uiPriority w:val="99"/>
    <w:rsid w:val="00252C65"/>
    <w:rPr>
      <w:rFonts w:ascii="Arial" w:eastAsia="Times New Roman" w:hAnsi="Arial" w:cs="Arial"/>
      <w:sz w:val="28"/>
      <w:szCs w:val="28"/>
    </w:rPr>
  </w:style>
  <w:style w:type="paragraph" w:customStyle="1" w:styleId="CDBGPARTA">
    <w:name w:val="CDBG PART A"/>
    <w:aliases w:val="B,etc-Arial 14,U"/>
    <w:basedOn w:val="Heading2"/>
    <w:qFormat/>
    <w:rsid w:val="00252C65"/>
    <w:pPr>
      <w:keepLines w:val="0"/>
      <w:spacing w:before="0"/>
    </w:pPr>
    <w:rPr>
      <w:rFonts w:eastAsia="Times New Roman" w:cs="Times New Roman"/>
      <w:b w:val="0"/>
      <w:szCs w:val="28"/>
    </w:rPr>
  </w:style>
  <w:style w:type="paragraph" w:styleId="HTMLPreformatted">
    <w:name w:val="HTML Preformatted"/>
    <w:basedOn w:val="Normal"/>
    <w:link w:val="HTMLPreformattedChar"/>
    <w:uiPriority w:val="99"/>
    <w:semiHidden/>
    <w:unhideWhenUsed/>
    <w:rsid w:val="00017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72B4"/>
    <w:rPr>
      <w:rFonts w:ascii="Courier New" w:eastAsia="Times New Roman" w:hAnsi="Courier New" w:cs="Courier New"/>
      <w:sz w:val="20"/>
      <w:szCs w:val="20"/>
    </w:rPr>
  </w:style>
  <w:style w:type="character" w:customStyle="1" w:styleId="y2iqfc">
    <w:name w:val="y2iqfc"/>
    <w:basedOn w:val="DefaultParagraphFont"/>
    <w:rsid w:val="000172B4"/>
  </w:style>
  <w:style w:type="paragraph" w:styleId="NormalWeb">
    <w:name w:val="Normal (Web)"/>
    <w:basedOn w:val="Normal"/>
    <w:uiPriority w:val="99"/>
    <w:semiHidden/>
    <w:unhideWhenUsed/>
    <w:rsid w:val="00C7354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67A80"/>
    <w:rPr>
      <w:b/>
      <w:bCs/>
    </w:rPr>
  </w:style>
  <w:style w:type="character" w:customStyle="1" w:styleId="CommentSubjectChar">
    <w:name w:val="Comment Subject Char"/>
    <w:basedOn w:val="CommentTextChar"/>
    <w:link w:val="CommentSubject"/>
    <w:uiPriority w:val="99"/>
    <w:semiHidden/>
    <w:rsid w:val="00167A80"/>
    <w:rPr>
      <w:rFonts w:ascii="Times New Roman" w:eastAsia="Times New Roman" w:hAnsi="Times New Roman" w:cs="Times New Roman"/>
      <w:b/>
      <w:bCs/>
      <w:sz w:val="20"/>
      <w:szCs w:val="20"/>
    </w:rPr>
  </w:style>
  <w:style w:type="paragraph" w:styleId="ListParagraph">
    <w:name w:val="List Paragraph"/>
    <w:basedOn w:val="Normal"/>
    <w:uiPriority w:val="34"/>
    <w:qFormat/>
    <w:rsid w:val="00167A80"/>
    <w:pPr>
      <w:ind w:left="720"/>
      <w:contextualSpacing/>
    </w:pPr>
  </w:style>
  <w:style w:type="paragraph" w:styleId="Revision">
    <w:name w:val="Revision"/>
    <w:hidden/>
    <w:uiPriority w:val="99"/>
    <w:semiHidden/>
    <w:rsid w:val="005B093A"/>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23C61"/>
    <w:pPr>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rsid w:val="00123C61"/>
    <w:pPr>
      <w:spacing w:before="120" w:after="120"/>
    </w:pPr>
    <w:rPr>
      <w:rFonts w:asciiTheme="minorHAnsi" w:hAnsiTheme="minorHAnsi" w:cstheme="minorHAnsi"/>
      <w:b/>
      <w:bCs/>
      <w:caps/>
      <w:sz w:val="20"/>
      <w:szCs w:val="20"/>
    </w:rPr>
  </w:style>
  <w:style w:type="paragraph" w:styleId="Header">
    <w:name w:val="header"/>
    <w:basedOn w:val="Normal"/>
    <w:link w:val="HeaderChar"/>
    <w:uiPriority w:val="99"/>
    <w:unhideWhenUsed/>
    <w:rsid w:val="00625EE8"/>
    <w:pPr>
      <w:tabs>
        <w:tab w:val="center" w:pos="4680"/>
        <w:tab w:val="right" w:pos="9360"/>
      </w:tabs>
    </w:pPr>
  </w:style>
  <w:style w:type="character" w:customStyle="1" w:styleId="HeaderChar">
    <w:name w:val="Header Char"/>
    <w:basedOn w:val="DefaultParagraphFont"/>
    <w:link w:val="Header"/>
    <w:uiPriority w:val="99"/>
    <w:rsid w:val="00625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EE8"/>
    <w:pPr>
      <w:tabs>
        <w:tab w:val="center" w:pos="4680"/>
        <w:tab w:val="right" w:pos="9360"/>
      </w:tabs>
    </w:pPr>
  </w:style>
  <w:style w:type="character" w:customStyle="1" w:styleId="FooterChar">
    <w:name w:val="Footer Char"/>
    <w:basedOn w:val="DefaultParagraphFont"/>
    <w:link w:val="Footer"/>
    <w:uiPriority w:val="99"/>
    <w:rsid w:val="00625EE8"/>
    <w:rPr>
      <w:rFonts w:ascii="Times New Roman" w:eastAsia="Times New Roman" w:hAnsi="Times New Roman" w:cs="Times New Roman"/>
      <w:sz w:val="24"/>
      <w:szCs w:val="24"/>
    </w:rPr>
  </w:style>
  <w:style w:type="character" w:styleId="PageNumber">
    <w:name w:val="page number"/>
    <w:uiPriority w:val="99"/>
    <w:rsid w:val="00625EE8"/>
  </w:style>
  <w:style w:type="character" w:styleId="FollowedHyperlink">
    <w:name w:val="FollowedHyperlink"/>
    <w:basedOn w:val="DefaultParagraphFont"/>
    <w:uiPriority w:val="99"/>
    <w:semiHidden/>
    <w:unhideWhenUsed/>
    <w:rsid w:val="00D878EC"/>
    <w:rPr>
      <w:color w:val="954F72" w:themeColor="followedHyperlink"/>
      <w:u w:val="single"/>
    </w:rPr>
  </w:style>
  <w:style w:type="character" w:styleId="UnresolvedMention">
    <w:name w:val="Unresolved Mention"/>
    <w:basedOn w:val="DefaultParagraphFont"/>
    <w:uiPriority w:val="99"/>
    <w:semiHidden/>
    <w:unhideWhenUsed/>
    <w:rsid w:val="00726ED3"/>
    <w:rPr>
      <w:color w:val="605E5C"/>
      <w:shd w:val="clear" w:color="auto" w:fill="E1DFDD"/>
    </w:rPr>
  </w:style>
  <w:style w:type="paragraph" w:customStyle="1" w:styleId="1BODY-Arial11">
    <w:name w:val="1. BODY-Arial 11"/>
    <w:basedOn w:val="Normal"/>
    <w:autoRedefine/>
    <w:qFormat/>
    <w:rsid w:val="00F74A6B"/>
    <w:pPr>
      <w:keepNext/>
    </w:pPr>
    <w:rPr>
      <w:rFonts w:cs="Arial"/>
      <w:bCs/>
      <w:color w:val="000000" w:themeColor="text1"/>
      <w:szCs w:val="22"/>
    </w:rPr>
  </w:style>
  <w:style w:type="paragraph" w:customStyle="1" w:styleId="4ArialBold14">
    <w:name w:val="4. Arial Bold 14"/>
    <w:basedOn w:val="Heading2"/>
    <w:qFormat/>
    <w:rsid w:val="005D6640"/>
    <w:pPr>
      <w:keepLines w:val="0"/>
      <w:spacing w:before="0"/>
    </w:pPr>
    <w:rPr>
      <w:rFonts w:eastAsia="Times New Roman" w:cs="Times New Roman"/>
      <w:b w:val="0"/>
      <w:szCs w:val="20"/>
    </w:rPr>
  </w:style>
  <w:style w:type="paragraph" w:styleId="FootnoteText">
    <w:name w:val="footnote text"/>
    <w:basedOn w:val="Normal"/>
    <w:link w:val="FootnoteTextChar"/>
    <w:uiPriority w:val="99"/>
    <w:semiHidden/>
    <w:unhideWhenUsed/>
    <w:rsid w:val="00335440"/>
    <w:rPr>
      <w:sz w:val="20"/>
      <w:szCs w:val="20"/>
    </w:rPr>
  </w:style>
  <w:style w:type="character" w:customStyle="1" w:styleId="FootnoteTextChar">
    <w:name w:val="Footnote Text Char"/>
    <w:basedOn w:val="DefaultParagraphFont"/>
    <w:link w:val="FootnoteText"/>
    <w:uiPriority w:val="99"/>
    <w:semiHidden/>
    <w:rsid w:val="0033544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35440"/>
    <w:rPr>
      <w:vertAlign w:val="superscript"/>
    </w:rPr>
  </w:style>
  <w:style w:type="paragraph" w:customStyle="1" w:styleId="lbexindentparagraph">
    <w:name w:val="lbexindentparagraph"/>
    <w:basedOn w:val="Normal"/>
    <w:rsid w:val="003124DF"/>
    <w:pPr>
      <w:spacing w:before="100" w:beforeAutospacing="1" w:after="100" w:afterAutospacing="1"/>
    </w:pPr>
    <w:rPr>
      <w:rFonts w:ascii="Times New Roman" w:hAnsi="Times New Roman"/>
      <w:sz w:val="24"/>
    </w:rPr>
  </w:style>
  <w:style w:type="paragraph" w:styleId="TOC3">
    <w:name w:val="toc 3"/>
    <w:basedOn w:val="Normal"/>
    <w:next w:val="Normal"/>
    <w:autoRedefine/>
    <w:uiPriority w:val="39"/>
    <w:unhideWhenUsed/>
    <w:rsid w:val="00597D53"/>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7D53"/>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597D53"/>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7D53"/>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7D53"/>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7D53"/>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7D53"/>
    <w:pPr>
      <w:ind w:left="1760"/>
    </w:pPr>
    <w:rPr>
      <w:rFonts w:asciiTheme="minorHAnsi" w:hAnsiTheme="minorHAnsi" w:cstheme="minorHAnsi"/>
      <w:sz w:val="18"/>
      <w:szCs w:val="18"/>
    </w:rPr>
  </w:style>
  <w:style w:type="paragraph" w:customStyle="1" w:styleId="paragraph">
    <w:name w:val="paragraph"/>
    <w:basedOn w:val="Normal"/>
    <w:rsid w:val="003D433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3D4334"/>
  </w:style>
  <w:style w:type="character" w:customStyle="1" w:styleId="eop">
    <w:name w:val="eop"/>
    <w:basedOn w:val="DefaultParagraphFont"/>
    <w:rsid w:val="003D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08750">
      <w:bodyDiv w:val="1"/>
      <w:marLeft w:val="0"/>
      <w:marRight w:val="0"/>
      <w:marTop w:val="0"/>
      <w:marBottom w:val="0"/>
      <w:divBdr>
        <w:top w:val="none" w:sz="0" w:space="0" w:color="auto"/>
        <w:left w:val="none" w:sz="0" w:space="0" w:color="auto"/>
        <w:bottom w:val="none" w:sz="0" w:space="0" w:color="auto"/>
        <w:right w:val="none" w:sz="0" w:space="0" w:color="auto"/>
      </w:divBdr>
      <w:divsChild>
        <w:div w:id="1428042995">
          <w:marLeft w:val="0"/>
          <w:marRight w:val="0"/>
          <w:marTop w:val="0"/>
          <w:marBottom w:val="0"/>
          <w:divBdr>
            <w:top w:val="none" w:sz="0" w:space="0" w:color="auto"/>
            <w:left w:val="none" w:sz="0" w:space="0" w:color="auto"/>
            <w:bottom w:val="none" w:sz="0" w:space="0" w:color="auto"/>
            <w:right w:val="none" w:sz="0" w:space="0" w:color="auto"/>
          </w:divBdr>
        </w:div>
        <w:div w:id="1989505321">
          <w:marLeft w:val="0"/>
          <w:marRight w:val="0"/>
          <w:marTop w:val="0"/>
          <w:marBottom w:val="0"/>
          <w:divBdr>
            <w:top w:val="none" w:sz="0" w:space="0" w:color="auto"/>
            <w:left w:val="none" w:sz="0" w:space="0" w:color="auto"/>
            <w:bottom w:val="none" w:sz="0" w:space="0" w:color="auto"/>
            <w:right w:val="none" w:sz="0" w:space="0" w:color="auto"/>
          </w:divBdr>
        </w:div>
        <w:div w:id="1816603934">
          <w:marLeft w:val="0"/>
          <w:marRight w:val="0"/>
          <w:marTop w:val="0"/>
          <w:marBottom w:val="0"/>
          <w:divBdr>
            <w:top w:val="none" w:sz="0" w:space="0" w:color="auto"/>
            <w:left w:val="none" w:sz="0" w:space="0" w:color="auto"/>
            <w:bottom w:val="none" w:sz="0" w:space="0" w:color="auto"/>
            <w:right w:val="none" w:sz="0" w:space="0" w:color="auto"/>
          </w:divBdr>
        </w:div>
        <w:div w:id="1859541987">
          <w:marLeft w:val="0"/>
          <w:marRight w:val="0"/>
          <w:marTop w:val="0"/>
          <w:marBottom w:val="0"/>
          <w:divBdr>
            <w:top w:val="none" w:sz="0" w:space="0" w:color="auto"/>
            <w:left w:val="none" w:sz="0" w:space="0" w:color="auto"/>
            <w:bottom w:val="none" w:sz="0" w:space="0" w:color="auto"/>
            <w:right w:val="none" w:sz="0" w:space="0" w:color="auto"/>
          </w:divBdr>
        </w:div>
        <w:div w:id="952328396">
          <w:marLeft w:val="0"/>
          <w:marRight w:val="0"/>
          <w:marTop w:val="0"/>
          <w:marBottom w:val="0"/>
          <w:divBdr>
            <w:top w:val="none" w:sz="0" w:space="0" w:color="auto"/>
            <w:left w:val="none" w:sz="0" w:space="0" w:color="auto"/>
            <w:bottom w:val="none" w:sz="0" w:space="0" w:color="auto"/>
            <w:right w:val="none" w:sz="0" w:space="0" w:color="auto"/>
          </w:divBdr>
        </w:div>
        <w:div w:id="392122601">
          <w:marLeft w:val="0"/>
          <w:marRight w:val="0"/>
          <w:marTop w:val="0"/>
          <w:marBottom w:val="0"/>
          <w:divBdr>
            <w:top w:val="none" w:sz="0" w:space="0" w:color="auto"/>
            <w:left w:val="none" w:sz="0" w:space="0" w:color="auto"/>
            <w:bottom w:val="none" w:sz="0" w:space="0" w:color="auto"/>
            <w:right w:val="none" w:sz="0" w:space="0" w:color="auto"/>
          </w:divBdr>
          <w:divsChild>
            <w:div w:id="1797483908">
              <w:marLeft w:val="0"/>
              <w:marRight w:val="0"/>
              <w:marTop w:val="30"/>
              <w:marBottom w:val="30"/>
              <w:divBdr>
                <w:top w:val="none" w:sz="0" w:space="0" w:color="auto"/>
                <w:left w:val="none" w:sz="0" w:space="0" w:color="auto"/>
                <w:bottom w:val="none" w:sz="0" w:space="0" w:color="auto"/>
                <w:right w:val="none" w:sz="0" w:space="0" w:color="auto"/>
              </w:divBdr>
              <w:divsChild>
                <w:div w:id="1230729658">
                  <w:marLeft w:val="0"/>
                  <w:marRight w:val="0"/>
                  <w:marTop w:val="0"/>
                  <w:marBottom w:val="0"/>
                  <w:divBdr>
                    <w:top w:val="none" w:sz="0" w:space="0" w:color="auto"/>
                    <w:left w:val="none" w:sz="0" w:space="0" w:color="auto"/>
                    <w:bottom w:val="none" w:sz="0" w:space="0" w:color="auto"/>
                    <w:right w:val="none" w:sz="0" w:space="0" w:color="auto"/>
                  </w:divBdr>
                  <w:divsChild>
                    <w:div w:id="508300884">
                      <w:marLeft w:val="0"/>
                      <w:marRight w:val="0"/>
                      <w:marTop w:val="0"/>
                      <w:marBottom w:val="0"/>
                      <w:divBdr>
                        <w:top w:val="none" w:sz="0" w:space="0" w:color="auto"/>
                        <w:left w:val="none" w:sz="0" w:space="0" w:color="auto"/>
                        <w:bottom w:val="none" w:sz="0" w:space="0" w:color="auto"/>
                        <w:right w:val="none" w:sz="0" w:space="0" w:color="auto"/>
                      </w:divBdr>
                    </w:div>
                  </w:divsChild>
                </w:div>
                <w:div w:id="1280068464">
                  <w:marLeft w:val="0"/>
                  <w:marRight w:val="0"/>
                  <w:marTop w:val="0"/>
                  <w:marBottom w:val="0"/>
                  <w:divBdr>
                    <w:top w:val="none" w:sz="0" w:space="0" w:color="auto"/>
                    <w:left w:val="none" w:sz="0" w:space="0" w:color="auto"/>
                    <w:bottom w:val="none" w:sz="0" w:space="0" w:color="auto"/>
                    <w:right w:val="none" w:sz="0" w:space="0" w:color="auto"/>
                  </w:divBdr>
                  <w:divsChild>
                    <w:div w:id="134102459">
                      <w:marLeft w:val="0"/>
                      <w:marRight w:val="0"/>
                      <w:marTop w:val="0"/>
                      <w:marBottom w:val="0"/>
                      <w:divBdr>
                        <w:top w:val="none" w:sz="0" w:space="0" w:color="auto"/>
                        <w:left w:val="none" w:sz="0" w:space="0" w:color="auto"/>
                        <w:bottom w:val="none" w:sz="0" w:space="0" w:color="auto"/>
                        <w:right w:val="none" w:sz="0" w:space="0" w:color="auto"/>
                      </w:divBdr>
                    </w:div>
                  </w:divsChild>
                </w:div>
                <w:div w:id="779035896">
                  <w:marLeft w:val="0"/>
                  <w:marRight w:val="0"/>
                  <w:marTop w:val="0"/>
                  <w:marBottom w:val="0"/>
                  <w:divBdr>
                    <w:top w:val="none" w:sz="0" w:space="0" w:color="auto"/>
                    <w:left w:val="none" w:sz="0" w:space="0" w:color="auto"/>
                    <w:bottom w:val="none" w:sz="0" w:space="0" w:color="auto"/>
                    <w:right w:val="none" w:sz="0" w:space="0" w:color="auto"/>
                  </w:divBdr>
                  <w:divsChild>
                    <w:div w:id="907156259">
                      <w:marLeft w:val="0"/>
                      <w:marRight w:val="0"/>
                      <w:marTop w:val="0"/>
                      <w:marBottom w:val="0"/>
                      <w:divBdr>
                        <w:top w:val="none" w:sz="0" w:space="0" w:color="auto"/>
                        <w:left w:val="none" w:sz="0" w:space="0" w:color="auto"/>
                        <w:bottom w:val="none" w:sz="0" w:space="0" w:color="auto"/>
                        <w:right w:val="none" w:sz="0" w:space="0" w:color="auto"/>
                      </w:divBdr>
                    </w:div>
                  </w:divsChild>
                </w:div>
                <w:div w:id="154272614">
                  <w:marLeft w:val="0"/>
                  <w:marRight w:val="0"/>
                  <w:marTop w:val="0"/>
                  <w:marBottom w:val="0"/>
                  <w:divBdr>
                    <w:top w:val="none" w:sz="0" w:space="0" w:color="auto"/>
                    <w:left w:val="none" w:sz="0" w:space="0" w:color="auto"/>
                    <w:bottom w:val="none" w:sz="0" w:space="0" w:color="auto"/>
                    <w:right w:val="none" w:sz="0" w:space="0" w:color="auto"/>
                  </w:divBdr>
                  <w:divsChild>
                    <w:div w:id="1069155518">
                      <w:marLeft w:val="0"/>
                      <w:marRight w:val="0"/>
                      <w:marTop w:val="0"/>
                      <w:marBottom w:val="0"/>
                      <w:divBdr>
                        <w:top w:val="none" w:sz="0" w:space="0" w:color="auto"/>
                        <w:left w:val="none" w:sz="0" w:space="0" w:color="auto"/>
                        <w:bottom w:val="none" w:sz="0" w:space="0" w:color="auto"/>
                        <w:right w:val="none" w:sz="0" w:space="0" w:color="auto"/>
                      </w:divBdr>
                    </w:div>
                  </w:divsChild>
                </w:div>
                <w:div w:id="223486666">
                  <w:marLeft w:val="0"/>
                  <w:marRight w:val="0"/>
                  <w:marTop w:val="0"/>
                  <w:marBottom w:val="0"/>
                  <w:divBdr>
                    <w:top w:val="none" w:sz="0" w:space="0" w:color="auto"/>
                    <w:left w:val="none" w:sz="0" w:space="0" w:color="auto"/>
                    <w:bottom w:val="none" w:sz="0" w:space="0" w:color="auto"/>
                    <w:right w:val="none" w:sz="0" w:space="0" w:color="auto"/>
                  </w:divBdr>
                  <w:divsChild>
                    <w:div w:id="1714184172">
                      <w:marLeft w:val="0"/>
                      <w:marRight w:val="0"/>
                      <w:marTop w:val="0"/>
                      <w:marBottom w:val="0"/>
                      <w:divBdr>
                        <w:top w:val="none" w:sz="0" w:space="0" w:color="auto"/>
                        <w:left w:val="none" w:sz="0" w:space="0" w:color="auto"/>
                        <w:bottom w:val="none" w:sz="0" w:space="0" w:color="auto"/>
                        <w:right w:val="none" w:sz="0" w:space="0" w:color="auto"/>
                      </w:divBdr>
                    </w:div>
                  </w:divsChild>
                </w:div>
                <w:div w:id="628903446">
                  <w:marLeft w:val="0"/>
                  <w:marRight w:val="0"/>
                  <w:marTop w:val="0"/>
                  <w:marBottom w:val="0"/>
                  <w:divBdr>
                    <w:top w:val="none" w:sz="0" w:space="0" w:color="auto"/>
                    <w:left w:val="none" w:sz="0" w:space="0" w:color="auto"/>
                    <w:bottom w:val="none" w:sz="0" w:space="0" w:color="auto"/>
                    <w:right w:val="none" w:sz="0" w:space="0" w:color="auto"/>
                  </w:divBdr>
                  <w:divsChild>
                    <w:div w:id="833760874">
                      <w:marLeft w:val="0"/>
                      <w:marRight w:val="0"/>
                      <w:marTop w:val="0"/>
                      <w:marBottom w:val="0"/>
                      <w:divBdr>
                        <w:top w:val="none" w:sz="0" w:space="0" w:color="auto"/>
                        <w:left w:val="none" w:sz="0" w:space="0" w:color="auto"/>
                        <w:bottom w:val="none" w:sz="0" w:space="0" w:color="auto"/>
                        <w:right w:val="none" w:sz="0" w:space="0" w:color="auto"/>
                      </w:divBdr>
                    </w:div>
                  </w:divsChild>
                </w:div>
                <w:div w:id="1214997052">
                  <w:marLeft w:val="0"/>
                  <w:marRight w:val="0"/>
                  <w:marTop w:val="0"/>
                  <w:marBottom w:val="0"/>
                  <w:divBdr>
                    <w:top w:val="none" w:sz="0" w:space="0" w:color="auto"/>
                    <w:left w:val="none" w:sz="0" w:space="0" w:color="auto"/>
                    <w:bottom w:val="none" w:sz="0" w:space="0" w:color="auto"/>
                    <w:right w:val="none" w:sz="0" w:space="0" w:color="auto"/>
                  </w:divBdr>
                  <w:divsChild>
                    <w:div w:id="1168863258">
                      <w:marLeft w:val="0"/>
                      <w:marRight w:val="0"/>
                      <w:marTop w:val="0"/>
                      <w:marBottom w:val="0"/>
                      <w:divBdr>
                        <w:top w:val="none" w:sz="0" w:space="0" w:color="auto"/>
                        <w:left w:val="none" w:sz="0" w:space="0" w:color="auto"/>
                        <w:bottom w:val="none" w:sz="0" w:space="0" w:color="auto"/>
                        <w:right w:val="none" w:sz="0" w:space="0" w:color="auto"/>
                      </w:divBdr>
                    </w:div>
                  </w:divsChild>
                </w:div>
                <w:div w:id="1673098124">
                  <w:marLeft w:val="0"/>
                  <w:marRight w:val="0"/>
                  <w:marTop w:val="0"/>
                  <w:marBottom w:val="0"/>
                  <w:divBdr>
                    <w:top w:val="none" w:sz="0" w:space="0" w:color="auto"/>
                    <w:left w:val="none" w:sz="0" w:space="0" w:color="auto"/>
                    <w:bottom w:val="none" w:sz="0" w:space="0" w:color="auto"/>
                    <w:right w:val="none" w:sz="0" w:space="0" w:color="auto"/>
                  </w:divBdr>
                  <w:divsChild>
                    <w:div w:id="845754634">
                      <w:marLeft w:val="0"/>
                      <w:marRight w:val="0"/>
                      <w:marTop w:val="0"/>
                      <w:marBottom w:val="0"/>
                      <w:divBdr>
                        <w:top w:val="none" w:sz="0" w:space="0" w:color="auto"/>
                        <w:left w:val="none" w:sz="0" w:space="0" w:color="auto"/>
                        <w:bottom w:val="none" w:sz="0" w:space="0" w:color="auto"/>
                        <w:right w:val="none" w:sz="0" w:space="0" w:color="auto"/>
                      </w:divBdr>
                    </w:div>
                  </w:divsChild>
                </w:div>
                <w:div w:id="1395005948">
                  <w:marLeft w:val="0"/>
                  <w:marRight w:val="0"/>
                  <w:marTop w:val="0"/>
                  <w:marBottom w:val="0"/>
                  <w:divBdr>
                    <w:top w:val="none" w:sz="0" w:space="0" w:color="auto"/>
                    <w:left w:val="none" w:sz="0" w:space="0" w:color="auto"/>
                    <w:bottom w:val="none" w:sz="0" w:space="0" w:color="auto"/>
                    <w:right w:val="none" w:sz="0" w:space="0" w:color="auto"/>
                  </w:divBdr>
                  <w:divsChild>
                    <w:div w:id="2095736905">
                      <w:marLeft w:val="0"/>
                      <w:marRight w:val="0"/>
                      <w:marTop w:val="0"/>
                      <w:marBottom w:val="0"/>
                      <w:divBdr>
                        <w:top w:val="none" w:sz="0" w:space="0" w:color="auto"/>
                        <w:left w:val="none" w:sz="0" w:space="0" w:color="auto"/>
                        <w:bottom w:val="none" w:sz="0" w:space="0" w:color="auto"/>
                        <w:right w:val="none" w:sz="0" w:space="0" w:color="auto"/>
                      </w:divBdr>
                    </w:div>
                  </w:divsChild>
                </w:div>
                <w:div w:id="329601285">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302879667">
                  <w:marLeft w:val="0"/>
                  <w:marRight w:val="0"/>
                  <w:marTop w:val="0"/>
                  <w:marBottom w:val="0"/>
                  <w:divBdr>
                    <w:top w:val="none" w:sz="0" w:space="0" w:color="auto"/>
                    <w:left w:val="none" w:sz="0" w:space="0" w:color="auto"/>
                    <w:bottom w:val="none" w:sz="0" w:space="0" w:color="auto"/>
                    <w:right w:val="none" w:sz="0" w:space="0" w:color="auto"/>
                  </w:divBdr>
                  <w:divsChild>
                    <w:div w:id="1573740142">
                      <w:marLeft w:val="0"/>
                      <w:marRight w:val="0"/>
                      <w:marTop w:val="0"/>
                      <w:marBottom w:val="0"/>
                      <w:divBdr>
                        <w:top w:val="none" w:sz="0" w:space="0" w:color="auto"/>
                        <w:left w:val="none" w:sz="0" w:space="0" w:color="auto"/>
                        <w:bottom w:val="none" w:sz="0" w:space="0" w:color="auto"/>
                        <w:right w:val="none" w:sz="0" w:space="0" w:color="auto"/>
                      </w:divBdr>
                    </w:div>
                  </w:divsChild>
                </w:div>
                <w:div w:id="145778363">
                  <w:marLeft w:val="0"/>
                  <w:marRight w:val="0"/>
                  <w:marTop w:val="0"/>
                  <w:marBottom w:val="0"/>
                  <w:divBdr>
                    <w:top w:val="none" w:sz="0" w:space="0" w:color="auto"/>
                    <w:left w:val="none" w:sz="0" w:space="0" w:color="auto"/>
                    <w:bottom w:val="none" w:sz="0" w:space="0" w:color="auto"/>
                    <w:right w:val="none" w:sz="0" w:space="0" w:color="auto"/>
                  </w:divBdr>
                  <w:divsChild>
                    <w:div w:id="833493875">
                      <w:marLeft w:val="0"/>
                      <w:marRight w:val="0"/>
                      <w:marTop w:val="0"/>
                      <w:marBottom w:val="0"/>
                      <w:divBdr>
                        <w:top w:val="none" w:sz="0" w:space="0" w:color="auto"/>
                        <w:left w:val="none" w:sz="0" w:space="0" w:color="auto"/>
                        <w:bottom w:val="none" w:sz="0" w:space="0" w:color="auto"/>
                        <w:right w:val="none" w:sz="0" w:space="0" w:color="auto"/>
                      </w:divBdr>
                    </w:div>
                  </w:divsChild>
                </w:div>
                <w:div w:id="1269267114">
                  <w:marLeft w:val="0"/>
                  <w:marRight w:val="0"/>
                  <w:marTop w:val="0"/>
                  <w:marBottom w:val="0"/>
                  <w:divBdr>
                    <w:top w:val="none" w:sz="0" w:space="0" w:color="auto"/>
                    <w:left w:val="none" w:sz="0" w:space="0" w:color="auto"/>
                    <w:bottom w:val="none" w:sz="0" w:space="0" w:color="auto"/>
                    <w:right w:val="none" w:sz="0" w:space="0" w:color="auto"/>
                  </w:divBdr>
                  <w:divsChild>
                    <w:div w:id="704327388">
                      <w:marLeft w:val="0"/>
                      <w:marRight w:val="0"/>
                      <w:marTop w:val="0"/>
                      <w:marBottom w:val="0"/>
                      <w:divBdr>
                        <w:top w:val="none" w:sz="0" w:space="0" w:color="auto"/>
                        <w:left w:val="none" w:sz="0" w:space="0" w:color="auto"/>
                        <w:bottom w:val="none" w:sz="0" w:space="0" w:color="auto"/>
                        <w:right w:val="none" w:sz="0" w:space="0" w:color="auto"/>
                      </w:divBdr>
                    </w:div>
                  </w:divsChild>
                </w:div>
                <w:div w:id="1729912176">
                  <w:marLeft w:val="0"/>
                  <w:marRight w:val="0"/>
                  <w:marTop w:val="0"/>
                  <w:marBottom w:val="0"/>
                  <w:divBdr>
                    <w:top w:val="none" w:sz="0" w:space="0" w:color="auto"/>
                    <w:left w:val="none" w:sz="0" w:space="0" w:color="auto"/>
                    <w:bottom w:val="none" w:sz="0" w:space="0" w:color="auto"/>
                    <w:right w:val="none" w:sz="0" w:space="0" w:color="auto"/>
                  </w:divBdr>
                  <w:divsChild>
                    <w:div w:id="1990401652">
                      <w:marLeft w:val="0"/>
                      <w:marRight w:val="0"/>
                      <w:marTop w:val="0"/>
                      <w:marBottom w:val="0"/>
                      <w:divBdr>
                        <w:top w:val="none" w:sz="0" w:space="0" w:color="auto"/>
                        <w:left w:val="none" w:sz="0" w:space="0" w:color="auto"/>
                        <w:bottom w:val="none" w:sz="0" w:space="0" w:color="auto"/>
                        <w:right w:val="none" w:sz="0" w:space="0" w:color="auto"/>
                      </w:divBdr>
                    </w:div>
                  </w:divsChild>
                </w:div>
                <w:div w:id="848983111">
                  <w:marLeft w:val="0"/>
                  <w:marRight w:val="0"/>
                  <w:marTop w:val="0"/>
                  <w:marBottom w:val="0"/>
                  <w:divBdr>
                    <w:top w:val="none" w:sz="0" w:space="0" w:color="auto"/>
                    <w:left w:val="none" w:sz="0" w:space="0" w:color="auto"/>
                    <w:bottom w:val="none" w:sz="0" w:space="0" w:color="auto"/>
                    <w:right w:val="none" w:sz="0" w:space="0" w:color="auto"/>
                  </w:divBdr>
                  <w:divsChild>
                    <w:div w:id="1082138194">
                      <w:marLeft w:val="0"/>
                      <w:marRight w:val="0"/>
                      <w:marTop w:val="0"/>
                      <w:marBottom w:val="0"/>
                      <w:divBdr>
                        <w:top w:val="none" w:sz="0" w:space="0" w:color="auto"/>
                        <w:left w:val="none" w:sz="0" w:space="0" w:color="auto"/>
                        <w:bottom w:val="none" w:sz="0" w:space="0" w:color="auto"/>
                        <w:right w:val="none" w:sz="0" w:space="0" w:color="auto"/>
                      </w:divBdr>
                    </w:div>
                  </w:divsChild>
                </w:div>
                <w:div w:id="2084184410">
                  <w:marLeft w:val="0"/>
                  <w:marRight w:val="0"/>
                  <w:marTop w:val="0"/>
                  <w:marBottom w:val="0"/>
                  <w:divBdr>
                    <w:top w:val="none" w:sz="0" w:space="0" w:color="auto"/>
                    <w:left w:val="none" w:sz="0" w:space="0" w:color="auto"/>
                    <w:bottom w:val="none" w:sz="0" w:space="0" w:color="auto"/>
                    <w:right w:val="none" w:sz="0" w:space="0" w:color="auto"/>
                  </w:divBdr>
                  <w:divsChild>
                    <w:div w:id="1939096804">
                      <w:marLeft w:val="0"/>
                      <w:marRight w:val="0"/>
                      <w:marTop w:val="0"/>
                      <w:marBottom w:val="0"/>
                      <w:divBdr>
                        <w:top w:val="none" w:sz="0" w:space="0" w:color="auto"/>
                        <w:left w:val="none" w:sz="0" w:space="0" w:color="auto"/>
                        <w:bottom w:val="none" w:sz="0" w:space="0" w:color="auto"/>
                        <w:right w:val="none" w:sz="0" w:space="0" w:color="auto"/>
                      </w:divBdr>
                    </w:div>
                  </w:divsChild>
                </w:div>
                <w:div w:id="1367754632">
                  <w:marLeft w:val="0"/>
                  <w:marRight w:val="0"/>
                  <w:marTop w:val="0"/>
                  <w:marBottom w:val="0"/>
                  <w:divBdr>
                    <w:top w:val="none" w:sz="0" w:space="0" w:color="auto"/>
                    <w:left w:val="none" w:sz="0" w:space="0" w:color="auto"/>
                    <w:bottom w:val="none" w:sz="0" w:space="0" w:color="auto"/>
                    <w:right w:val="none" w:sz="0" w:space="0" w:color="auto"/>
                  </w:divBdr>
                  <w:divsChild>
                    <w:div w:id="344794914">
                      <w:marLeft w:val="0"/>
                      <w:marRight w:val="0"/>
                      <w:marTop w:val="0"/>
                      <w:marBottom w:val="0"/>
                      <w:divBdr>
                        <w:top w:val="none" w:sz="0" w:space="0" w:color="auto"/>
                        <w:left w:val="none" w:sz="0" w:space="0" w:color="auto"/>
                        <w:bottom w:val="none" w:sz="0" w:space="0" w:color="auto"/>
                        <w:right w:val="none" w:sz="0" w:space="0" w:color="auto"/>
                      </w:divBdr>
                    </w:div>
                  </w:divsChild>
                </w:div>
                <w:div w:id="1794711575">
                  <w:marLeft w:val="0"/>
                  <w:marRight w:val="0"/>
                  <w:marTop w:val="0"/>
                  <w:marBottom w:val="0"/>
                  <w:divBdr>
                    <w:top w:val="none" w:sz="0" w:space="0" w:color="auto"/>
                    <w:left w:val="none" w:sz="0" w:space="0" w:color="auto"/>
                    <w:bottom w:val="none" w:sz="0" w:space="0" w:color="auto"/>
                    <w:right w:val="none" w:sz="0" w:space="0" w:color="auto"/>
                  </w:divBdr>
                  <w:divsChild>
                    <w:div w:id="1548755846">
                      <w:marLeft w:val="0"/>
                      <w:marRight w:val="0"/>
                      <w:marTop w:val="0"/>
                      <w:marBottom w:val="0"/>
                      <w:divBdr>
                        <w:top w:val="none" w:sz="0" w:space="0" w:color="auto"/>
                        <w:left w:val="none" w:sz="0" w:space="0" w:color="auto"/>
                        <w:bottom w:val="none" w:sz="0" w:space="0" w:color="auto"/>
                        <w:right w:val="none" w:sz="0" w:space="0" w:color="auto"/>
                      </w:divBdr>
                    </w:div>
                  </w:divsChild>
                </w:div>
                <w:div w:id="1075276802">
                  <w:marLeft w:val="0"/>
                  <w:marRight w:val="0"/>
                  <w:marTop w:val="0"/>
                  <w:marBottom w:val="0"/>
                  <w:divBdr>
                    <w:top w:val="none" w:sz="0" w:space="0" w:color="auto"/>
                    <w:left w:val="none" w:sz="0" w:space="0" w:color="auto"/>
                    <w:bottom w:val="none" w:sz="0" w:space="0" w:color="auto"/>
                    <w:right w:val="none" w:sz="0" w:space="0" w:color="auto"/>
                  </w:divBdr>
                  <w:divsChild>
                    <w:div w:id="540555523">
                      <w:marLeft w:val="0"/>
                      <w:marRight w:val="0"/>
                      <w:marTop w:val="0"/>
                      <w:marBottom w:val="0"/>
                      <w:divBdr>
                        <w:top w:val="none" w:sz="0" w:space="0" w:color="auto"/>
                        <w:left w:val="none" w:sz="0" w:space="0" w:color="auto"/>
                        <w:bottom w:val="none" w:sz="0" w:space="0" w:color="auto"/>
                        <w:right w:val="none" w:sz="0" w:space="0" w:color="auto"/>
                      </w:divBdr>
                    </w:div>
                  </w:divsChild>
                </w:div>
                <w:div w:id="1326087766">
                  <w:marLeft w:val="0"/>
                  <w:marRight w:val="0"/>
                  <w:marTop w:val="0"/>
                  <w:marBottom w:val="0"/>
                  <w:divBdr>
                    <w:top w:val="none" w:sz="0" w:space="0" w:color="auto"/>
                    <w:left w:val="none" w:sz="0" w:space="0" w:color="auto"/>
                    <w:bottom w:val="none" w:sz="0" w:space="0" w:color="auto"/>
                    <w:right w:val="none" w:sz="0" w:space="0" w:color="auto"/>
                  </w:divBdr>
                  <w:divsChild>
                    <w:div w:id="914514489">
                      <w:marLeft w:val="0"/>
                      <w:marRight w:val="0"/>
                      <w:marTop w:val="0"/>
                      <w:marBottom w:val="0"/>
                      <w:divBdr>
                        <w:top w:val="none" w:sz="0" w:space="0" w:color="auto"/>
                        <w:left w:val="none" w:sz="0" w:space="0" w:color="auto"/>
                        <w:bottom w:val="none" w:sz="0" w:space="0" w:color="auto"/>
                        <w:right w:val="none" w:sz="0" w:space="0" w:color="auto"/>
                      </w:divBdr>
                    </w:div>
                  </w:divsChild>
                </w:div>
                <w:div w:id="777330375">
                  <w:marLeft w:val="0"/>
                  <w:marRight w:val="0"/>
                  <w:marTop w:val="0"/>
                  <w:marBottom w:val="0"/>
                  <w:divBdr>
                    <w:top w:val="none" w:sz="0" w:space="0" w:color="auto"/>
                    <w:left w:val="none" w:sz="0" w:space="0" w:color="auto"/>
                    <w:bottom w:val="none" w:sz="0" w:space="0" w:color="auto"/>
                    <w:right w:val="none" w:sz="0" w:space="0" w:color="auto"/>
                  </w:divBdr>
                  <w:divsChild>
                    <w:div w:id="1438713617">
                      <w:marLeft w:val="0"/>
                      <w:marRight w:val="0"/>
                      <w:marTop w:val="0"/>
                      <w:marBottom w:val="0"/>
                      <w:divBdr>
                        <w:top w:val="none" w:sz="0" w:space="0" w:color="auto"/>
                        <w:left w:val="none" w:sz="0" w:space="0" w:color="auto"/>
                        <w:bottom w:val="none" w:sz="0" w:space="0" w:color="auto"/>
                        <w:right w:val="none" w:sz="0" w:space="0" w:color="auto"/>
                      </w:divBdr>
                    </w:div>
                  </w:divsChild>
                </w:div>
                <w:div w:id="1675494241">
                  <w:marLeft w:val="0"/>
                  <w:marRight w:val="0"/>
                  <w:marTop w:val="0"/>
                  <w:marBottom w:val="0"/>
                  <w:divBdr>
                    <w:top w:val="none" w:sz="0" w:space="0" w:color="auto"/>
                    <w:left w:val="none" w:sz="0" w:space="0" w:color="auto"/>
                    <w:bottom w:val="none" w:sz="0" w:space="0" w:color="auto"/>
                    <w:right w:val="none" w:sz="0" w:space="0" w:color="auto"/>
                  </w:divBdr>
                  <w:divsChild>
                    <w:div w:id="945968830">
                      <w:marLeft w:val="0"/>
                      <w:marRight w:val="0"/>
                      <w:marTop w:val="0"/>
                      <w:marBottom w:val="0"/>
                      <w:divBdr>
                        <w:top w:val="none" w:sz="0" w:space="0" w:color="auto"/>
                        <w:left w:val="none" w:sz="0" w:space="0" w:color="auto"/>
                        <w:bottom w:val="none" w:sz="0" w:space="0" w:color="auto"/>
                        <w:right w:val="none" w:sz="0" w:space="0" w:color="auto"/>
                      </w:divBdr>
                    </w:div>
                  </w:divsChild>
                </w:div>
                <w:div w:id="1959868967">
                  <w:marLeft w:val="0"/>
                  <w:marRight w:val="0"/>
                  <w:marTop w:val="0"/>
                  <w:marBottom w:val="0"/>
                  <w:divBdr>
                    <w:top w:val="none" w:sz="0" w:space="0" w:color="auto"/>
                    <w:left w:val="none" w:sz="0" w:space="0" w:color="auto"/>
                    <w:bottom w:val="none" w:sz="0" w:space="0" w:color="auto"/>
                    <w:right w:val="none" w:sz="0" w:space="0" w:color="auto"/>
                  </w:divBdr>
                  <w:divsChild>
                    <w:div w:id="878206622">
                      <w:marLeft w:val="0"/>
                      <w:marRight w:val="0"/>
                      <w:marTop w:val="0"/>
                      <w:marBottom w:val="0"/>
                      <w:divBdr>
                        <w:top w:val="none" w:sz="0" w:space="0" w:color="auto"/>
                        <w:left w:val="none" w:sz="0" w:space="0" w:color="auto"/>
                        <w:bottom w:val="none" w:sz="0" w:space="0" w:color="auto"/>
                        <w:right w:val="none" w:sz="0" w:space="0" w:color="auto"/>
                      </w:divBdr>
                    </w:div>
                  </w:divsChild>
                </w:div>
                <w:div w:id="57367473">
                  <w:marLeft w:val="0"/>
                  <w:marRight w:val="0"/>
                  <w:marTop w:val="0"/>
                  <w:marBottom w:val="0"/>
                  <w:divBdr>
                    <w:top w:val="none" w:sz="0" w:space="0" w:color="auto"/>
                    <w:left w:val="none" w:sz="0" w:space="0" w:color="auto"/>
                    <w:bottom w:val="none" w:sz="0" w:space="0" w:color="auto"/>
                    <w:right w:val="none" w:sz="0" w:space="0" w:color="auto"/>
                  </w:divBdr>
                  <w:divsChild>
                    <w:div w:id="95907961">
                      <w:marLeft w:val="0"/>
                      <w:marRight w:val="0"/>
                      <w:marTop w:val="0"/>
                      <w:marBottom w:val="0"/>
                      <w:divBdr>
                        <w:top w:val="none" w:sz="0" w:space="0" w:color="auto"/>
                        <w:left w:val="none" w:sz="0" w:space="0" w:color="auto"/>
                        <w:bottom w:val="none" w:sz="0" w:space="0" w:color="auto"/>
                        <w:right w:val="none" w:sz="0" w:space="0" w:color="auto"/>
                      </w:divBdr>
                    </w:div>
                  </w:divsChild>
                </w:div>
                <w:div w:id="1857573338">
                  <w:marLeft w:val="0"/>
                  <w:marRight w:val="0"/>
                  <w:marTop w:val="0"/>
                  <w:marBottom w:val="0"/>
                  <w:divBdr>
                    <w:top w:val="none" w:sz="0" w:space="0" w:color="auto"/>
                    <w:left w:val="none" w:sz="0" w:space="0" w:color="auto"/>
                    <w:bottom w:val="none" w:sz="0" w:space="0" w:color="auto"/>
                    <w:right w:val="none" w:sz="0" w:space="0" w:color="auto"/>
                  </w:divBdr>
                  <w:divsChild>
                    <w:div w:id="877931269">
                      <w:marLeft w:val="0"/>
                      <w:marRight w:val="0"/>
                      <w:marTop w:val="0"/>
                      <w:marBottom w:val="0"/>
                      <w:divBdr>
                        <w:top w:val="none" w:sz="0" w:space="0" w:color="auto"/>
                        <w:left w:val="none" w:sz="0" w:space="0" w:color="auto"/>
                        <w:bottom w:val="none" w:sz="0" w:space="0" w:color="auto"/>
                        <w:right w:val="none" w:sz="0" w:space="0" w:color="auto"/>
                      </w:divBdr>
                    </w:div>
                  </w:divsChild>
                </w:div>
                <w:div w:id="2049259182">
                  <w:marLeft w:val="0"/>
                  <w:marRight w:val="0"/>
                  <w:marTop w:val="0"/>
                  <w:marBottom w:val="0"/>
                  <w:divBdr>
                    <w:top w:val="none" w:sz="0" w:space="0" w:color="auto"/>
                    <w:left w:val="none" w:sz="0" w:space="0" w:color="auto"/>
                    <w:bottom w:val="none" w:sz="0" w:space="0" w:color="auto"/>
                    <w:right w:val="none" w:sz="0" w:space="0" w:color="auto"/>
                  </w:divBdr>
                  <w:divsChild>
                    <w:div w:id="1124150849">
                      <w:marLeft w:val="0"/>
                      <w:marRight w:val="0"/>
                      <w:marTop w:val="0"/>
                      <w:marBottom w:val="0"/>
                      <w:divBdr>
                        <w:top w:val="none" w:sz="0" w:space="0" w:color="auto"/>
                        <w:left w:val="none" w:sz="0" w:space="0" w:color="auto"/>
                        <w:bottom w:val="none" w:sz="0" w:space="0" w:color="auto"/>
                        <w:right w:val="none" w:sz="0" w:space="0" w:color="auto"/>
                      </w:divBdr>
                    </w:div>
                  </w:divsChild>
                </w:div>
                <w:div w:id="1335958259">
                  <w:marLeft w:val="0"/>
                  <w:marRight w:val="0"/>
                  <w:marTop w:val="0"/>
                  <w:marBottom w:val="0"/>
                  <w:divBdr>
                    <w:top w:val="none" w:sz="0" w:space="0" w:color="auto"/>
                    <w:left w:val="none" w:sz="0" w:space="0" w:color="auto"/>
                    <w:bottom w:val="none" w:sz="0" w:space="0" w:color="auto"/>
                    <w:right w:val="none" w:sz="0" w:space="0" w:color="auto"/>
                  </w:divBdr>
                  <w:divsChild>
                    <w:div w:id="1098214359">
                      <w:marLeft w:val="0"/>
                      <w:marRight w:val="0"/>
                      <w:marTop w:val="0"/>
                      <w:marBottom w:val="0"/>
                      <w:divBdr>
                        <w:top w:val="none" w:sz="0" w:space="0" w:color="auto"/>
                        <w:left w:val="none" w:sz="0" w:space="0" w:color="auto"/>
                        <w:bottom w:val="none" w:sz="0" w:space="0" w:color="auto"/>
                        <w:right w:val="none" w:sz="0" w:space="0" w:color="auto"/>
                      </w:divBdr>
                    </w:div>
                  </w:divsChild>
                </w:div>
                <w:div w:id="1449426937">
                  <w:marLeft w:val="0"/>
                  <w:marRight w:val="0"/>
                  <w:marTop w:val="0"/>
                  <w:marBottom w:val="0"/>
                  <w:divBdr>
                    <w:top w:val="none" w:sz="0" w:space="0" w:color="auto"/>
                    <w:left w:val="none" w:sz="0" w:space="0" w:color="auto"/>
                    <w:bottom w:val="none" w:sz="0" w:space="0" w:color="auto"/>
                    <w:right w:val="none" w:sz="0" w:space="0" w:color="auto"/>
                  </w:divBdr>
                  <w:divsChild>
                    <w:div w:id="1828475815">
                      <w:marLeft w:val="0"/>
                      <w:marRight w:val="0"/>
                      <w:marTop w:val="0"/>
                      <w:marBottom w:val="0"/>
                      <w:divBdr>
                        <w:top w:val="none" w:sz="0" w:space="0" w:color="auto"/>
                        <w:left w:val="none" w:sz="0" w:space="0" w:color="auto"/>
                        <w:bottom w:val="none" w:sz="0" w:space="0" w:color="auto"/>
                        <w:right w:val="none" w:sz="0" w:space="0" w:color="auto"/>
                      </w:divBdr>
                    </w:div>
                  </w:divsChild>
                </w:div>
                <w:div w:id="1134910424">
                  <w:marLeft w:val="0"/>
                  <w:marRight w:val="0"/>
                  <w:marTop w:val="0"/>
                  <w:marBottom w:val="0"/>
                  <w:divBdr>
                    <w:top w:val="none" w:sz="0" w:space="0" w:color="auto"/>
                    <w:left w:val="none" w:sz="0" w:space="0" w:color="auto"/>
                    <w:bottom w:val="none" w:sz="0" w:space="0" w:color="auto"/>
                    <w:right w:val="none" w:sz="0" w:space="0" w:color="auto"/>
                  </w:divBdr>
                  <w:divsChild>
                    <w:div w:id="380373608">
                      <w:marLeft w:val="0"/>
                      <w:marRight w:val="0"/>
                      <w:marTop w:val="0"/>
                      <w:marBottom w:val="0"/>
                      <w:divBdr>
                        <w:top w:val="none" w:sz="0" w:space="0" w:color="auto"/>
                        <w:left w:val="none" w:sz="0" w:space="0" w:color="auto"/>
                        <w:bottom w:val="none" w:sz="0" w:space="0" w:color="auto"/>
                        <w:right w:val="none" w:sz="0" w:space="0" w:color="auto"/>
                      </w:divBdr>
                    </w:div>
                  </w:divsChild>
                </w:div>
                <w:div w:id="2096439005">
                  <w:marLeft w:val="0"/>
                  <w:marRight w:val="0"/>
                  <w:marTop w:val="0"/>
                  <w:marBottom w:val="0"/>
                  <w:divBdr>
                    <w:top w:val="none" w:sz="0" w:space="0" w:color="auto"/>
                    <w:left w:val="none" w:sz="0" w:space="0" w:color="auto"/>
                    <w:bottom w:val="none" w:sz="0" w:space="0" w:color="auto"/>
                    <w:right w:val="none" w:sz="0" w:space="0" w:color="auto"/>
                  </w:divBdr>
                  <w:divsChild>
                    <w:div w:id="467746930">
                      <w:marLeft w:val="0"/>
                      <w:marRight w:val="0"/>
                      <w:marTop w:val="0"/>
                      <w:marBottom w:val="0"/>
                      <w:divBdr>
                        <w:top w:val="none" w:sz="0" w:space="0" w:color="auto"/>
                        <w:left w:val="none" w:sz="0" w:space="0" w:color="auto"/>
                        <w:bottom w:val="none" w:sz="0" w:space="0" w:color="auto"/>
                        <w:right w:val="none" w:sz="0" w:space="0" w:color="auto"/>
                      </w:divBdr>
                    </w:div>
                  </w:divsChild>
                </w:div>
                <w:div w:id="1151826032">
                  <w:marLeft w:val="0"/>
                  <w:marRight w:val="0"/>
                  <w:marTop w:val="0"/>
                  <w:marBottom w:val="0"/>
                  <w:divBdr>
                    <w:top w:val="none" w:sz="0" w:space="0" w:color="auto"/>
                    <w:left w:val="none" w:sz="0" w:space="0" w:color="auto"/>
                    <w:bottom w:val="none" w:sz="0" w:space="0" w:color="auto"/>
                    <w:right w:val="none" w:sz="0" w:space="0" w:color="auto"/>
                  </w:divBdr>
                  <w:divsChild>
                    <w:div w:id="422147986">
                      <w:marLeft w:val="0"/>
                      <w:marRight w:val="0"/>
                      <w:marTop w:val="0"/>
                      <w:marBottom w:val="0"/>
                      <w:divBdr>
                        <w:top w:val="none" w:sz="0" w:space="0" w:color="auto"/>
                        <w:left w:val="none" w:sz="0" w:space="0" w:color="auto"/>
                        <w:bottom w:val="none" w:sz="0" w:space="0" w:color="auto"/>
                        <w:right w:val="none" w:sz="0" w:space="0" w:color="auto"/>
                      </w:divBdr>
                    </w:div>
                  </w:divsChild>
                </w:div>
                <w:div w:id="101652465">
                  <w:marLeft w:val="0"/>
                  <w:marRight w:val="0"/>
                  <w:marTop w:val="0"/>
                  <w:marBottom w:val="0"/>
                  <w:divBdr>
                    <w:top w:val="none" w:sz="0" w:space="0" w:color="auto"/>
                    <w:left w:val="none" w:sz="0" w:space="0" w:color="auto"/>
                    <w:bottom w:val="none" w:sz="0" w:space="0" w:color="auto"/>
                    <w:right w:val="none" w:sz="0" w:space="0" w:color="auto"/>
                  </w:divBdr>
                  <w:divsChild>
                    <w:div w:id="343824370">
                      <w:marLeft w:val="0"/>
                      <w:marRight w:val="0"/>
                      <w:marTop w:val="0"/>
                      <w:marBottom w:val="0"/>
                      <w:divBdr>
                        <w:top w:val="none" w:sz="0" w:space="0" w:color="auto"/>
                        <w:left w:val="none" w:sz="0" w:space="0" w:color="auto"/>
                        <w:bottom w:val="none" w:sz="0" w:space="0" w:color="auto"/>
                        <w:right w:val="none" w:sz="0" w:space="0" w:color="auto"/>
                      </w:divBdr>
                    </w:div>
                  </w:divsChild>
                </w:div>
                <w:div w:id="670059462">
                  <w:marLeft w:val="0"/>
                  <w:marRight w:val="0"/>
                  <w:marTop w:val="0"/>
                  <w:marBottom w:val="0"/>
                  <w:divBdr>
                    <w:top w:val="none" w:sz="0" w:space="0" w:color="auto"/>
                    <w:left w:val="none" w:sz="0" w:space="0" w:color="auto"/>
                    <w:bottom w:val="none" w:sz="0" w:space="0" w:color="auto"/>
                    <w:right w:val="none" w:sz="0" w:space="0" w:color="auto"/>
                  </w:divBdr>
                  <w:divsChild>
                    <w:div w:id="2065517818">
                      <w:marLeft w:val="0"/>
                      <w:marRight w:val="0"/>
                      <w:marTop w:val="0"/>
                      <w:marBottom w:val="0"/>
                      <w:divBdr>
                        <w:top w:val="none" w:sz="0" w:space="0" w:color="auto"/>
                        <w:left w:val="none" w:sz="0" w:space="0" w:color="auto"/>
                        <w:bottom w:val="none" w:sz="0" w:space="0" w:color="auto"/>
                        <w:right w:val="none" w:sz="0" w:space="0" w:color="auto"/>
                      </w:divBdr>
                    </w:div>
                  </w:divsChild>
                </w:div>
                <w:div w:id="1586723007">
                  <w:marLeft w:val="0"/>
                  <w:marRight w:val="0"/>
                  <w:marTop w:val="0"/>
                  <w:marBottom w:val="0"/>
                  <w:divBdr>
                    <w:top w:val="none" w:sz="0" w:space="0" w:color="auto"/>
                    <w:left w:val="none" w:sz="0" w:space="0" w:color="auto"/>
                    <w:bottom w:val="none" w:sz="0" w:space="0" w:color="auto"/>
                    <w:right w:val="none" w:sz="0" w:space="0" w:color="auto"/>
                  </w:divBdr>
                  <w:divsChild>
                    <w:div w:id="2584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9559">
      <w:bodyDiv w:val="1"/>
      <w:marLeft w:val="0"/>
      <w:marRight w:val="0"/>
      <w:marTop w:val="0"/>
      <w:marBottom w:val="0"/>
      <w:divBdr>
        <w:top w:val="none" w:sz="0" w:space="0" w:color="auto"/>
        <w:left w:val="none" w:sz="0" w:space="0" w:color="auto"/>
        <w:bottom w:val="none" w:sz="0" w:space="0" w:color="auto"/>
        <w:right w:val="none" w:sz="0" w:space="0" w:color="auto"/>
      </w:divBdr>
    </w:div>
    <w:div w:id="955599581">
      <w:bodyDiv w:val="1"/>
      <w:marLeft w:val="0"/>
      <w:marRight w:val="0"/>
      <w:marTop w:val="0"/>
      <w:marBottom w:val="0"/>
      <w:divBdr>
        <w:top w:val="none" w:sz="0" w:space="0" w:color="auto"/>
        <w:left w:val="none" w:sz="0" w:space="0" w:color="auto"/>
        <w:bottom w:val="none" w:sz="0" w:space="0" w:color="auto"/>
        <w:right w:val="none" w:sz="0" w:space="0" w:color="auto"/>
      </w:divBdr>
    </w:div>
    <w:div w:id="1294100675">
      <w:bodyDiv w:val="1"/>
      <w:marLeft w:val="0"/>
      <w:marRight w:val="0"/>
      <w:marTop w:val="0"/>
      <w:marBottom w:val="0"/>
      <w:divBdr>
        <w:top w:val="none" w:sz="0" w:space="0" w:color="auto"/>
        <w:left w:val="none" w:sz="0" w:space="0" w:color="auto"/>
        <w:bottom w:val="none" w:sz="0" w:space="0" w:color="auto"/>
        <w:right w:val="none" w:sz="0" w:space="0" w:color="auto"/>
      </w:divBdr>
    </w:div>
    <w:div w:id="1458258319">
      <w:bodyDiv w:val="1"/>
      <w:marLeft w:val="0"/>
      <w:marRight w:val="0"/>
      <w:marTop w:val="0"/>
      <w:marBottom w:val="0"/>
      <w:divBdr>
        <w:top w:val="none" w:sz="0" w:space="0" w:color="auto"/>
        <w:left w:val="none" w:sz="0" w:space="0" w:color="auto"/>
        <w:bottom w:val="none" w:sz="0" w:space="0" w:color="auto"/>
        <w:right w:val="none" w:sz="0" w:space="0" w:color="auto"/>
      </w:divBdr>
    </w:div>
    <w:div w:id="2114670158">
      <w:bodyDiv w:val="1"/>
      <w:marLeft w:val="0"/>
      <w:marRight w:val="0"/>
      <w:marTop w:val="0"/>
      <w:marBottom w:val="0"/>
      <w:divBdr>
        <w:top w:val="none" w:sz="0" w:space="0" w:color="auto"/>
        <w:left w:val="none" w:sz="0" w:space="0" w:color="auto"/>
        <w:bottom w:val="none" w:sz="0" w:space="0" w:color="auto"/>
        <w:right w:val="none" w:sz="0" w:space="0" w:color="auto"/>
      </w:divBdr>
      <w:divsChild>
        <w:div w:id="1275403041">
          <w:marLeft w:val="0"/>
          <w:marRight w:val="0"/>
          <w:marTop w:val="0"/>
          <w:marBottom w:val="0"/>
          <w:divBdr>
            <w:top w:val="none" w:sz="0" w:space="0" w:color="auto"/>
            <w:left w:val="none" w:sz="0" w:space="0" w:color="auto"/>
            <w:bottom w:val="none" w:sz="0" w:space="0" w:color="auto"/>
            <w:right w:val="none" w:sz="0" w:space="0" w:color="auto"/>
          </w:divBdr>
        </w:div>
        <w:div w:id="110437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c.state.tx.us/crd/how-submit-housing-discrimination-complaint.html" TargetMode="External"/><Relationship Id="rId18" Type="http://schemas.openxmlformats.org/officeDocument/2006/relationships/hyperlink" Target="https://data.census.gov/" TargetMode="External"/><Relationship Id="rId26" Type="http://schemas.openxmlformats.org/officeDocument/2006/relationships/hyperlink" Target="https://texasagriculture.gov/Grants-Services/Rural-Economic-Development/Rural-Community-Development-Block-Grant-CDBG/Forms" TargetMode="External"/><Relationship Id="rId39" Type="http://schemas.openxmlformats.org/officeDocument/2006/relationships/hyperlink" Target="https://texasagriculture.gov/Grants-Services/Rural-Economic-Development/Rural-Community-Development-Block-Grant-CDBG/Forms" TargetMode="External"/><Relationship Id="rId21" Type="http://schemas.openxmlformats.org/officeDocument/2006/relationships/hyperlink" Target="https://www.twc.texas.gov/directory-workforce-solutions-offices-services" TargetMode="External"/><Relationship Id="rId34" Type="http://schemas.openxmlformats.org/officeDocument/2006/relationships/hyperlink" Target="https://texasagriculture.gov/Grants-Services/Rural-Economic-Development/Rural-Community-Development-Block-Grant-CDBG/Form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ud.gov/program_offices/fair_housing_equal_opp/promotingfh/lep-faq" TargetMode="External"/><Relationship Id="rId20" Type="http://schemas.openxmlformats.org/officeDocument/2006/relationships/hyperlink" Target="http://workintexas.com/" TargetMode="External"/><Relationship Id="rId29" Type="http://schemas.openxmlformats.org/officeDocument/2006/relationships/hyperlink" Target="https://texasagriculture.gov/Grants-Services/Rural-Economic-Development/Rural-Community-Development-Block-Grant-CDBG/For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l.org/" TargetMode="External"/><Relationship Id="rId24" Type="http://schemas.openxmlformats.org/officeDocument/2006/relationships/hyperlink" Target="https://texasagriculture.gov/Grants-Services/Rural-Economic-Development/Rural-Community-Development-Block-Grant-CDBG/Forms" TargetMode="External"/><Relationship Id="rId32" Type="http://schemas.openxmlformats.org/officeDocument/2006/relationships/hyperlink" Target="https://texasagriculture.gov/Grants-Services/Rural-Economic-Development/Rural-Community-Development-Block-Grant-CDBG/Forms" TargetMode="External"/><Relationship Id="rId37" Type="http://schemas.openxmlformats.org/officeDocument/2006/relationships/hyperlink" Target="https://texasagriculture.gov/Grants-Services/Rural-Economic-Development/Rural-Community-Development-Block-Grant-CDBG/Form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elaytexas.com/faqs/faqs" TargetMode="External"/><Relationship Id="rId23" Type="http://schemas.openxmlformats.org/officeDocument/2006/relationships/hyperlink" Target="https://www.hud.gov/program_offices/fair_housing_equal_opp" TargetMode="External"/><Relationship Id="rId28" Type="http://schemas.openxmlformats.org/officeDocument/2006/relationships/hyperlink" Target="https://texasagriculture.gov/Grants-Services/Rural-Economic-Development/Rural-Community-Development-Block-Grant-CDBG/Forms" TargetMode="External"/><Relationship Id="rId36" Type="http://schemas.openxmlformats.org/officeDocument/2006/relationships/hyperlink" Target="https://texasagriculture.gov/Grants-Services/Rural-Economic-Development/Rural-Community-Development-Block-Grant-CDBG/Forms" TargetMode="External"/><Relationship Id="rId10" Type="http://schemas.openxmlformats.org/officeDocument/2006/relationships/endnotes" Target="endnotes.xml"/><Relationship Id="rId19" Type="http://schemas.openxmlformats.org/officeDocument/2006/relationships/hyperlink" Target="http://www.mbda.gov/" TargetMode="External"/><Relationship Id="rId31" Type="http://schemas.openxmlformats.org/officeDocument/2006/relationships/hyperlink" Target="https://texasagriculture.gov/Grants-Services/Rural-Economic-Development/Rural-Community-Development-Block-Grant-CDBG/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Complaint@twc.state.tx.us" TargetMode="External"/><Relationship Id="rId22" Type="http://schemas.openxmlformats.org/officeDocument/2006/relationships/image" Target="media/image1.png"/><Relationship Id="rId27" Type="http://schemas.openxmlformats.org/officeDocument/2006/relationships/hyperlink" Target="https://texasagriculture.gov/Grants-Services/Rural-Economic-Development/Rural-Community-Development-Block-Grant-CDBG/Forms" TargetMode="External"/><Relationship Id="rId30" Type="http://schemas.openxmlformats.org/officeDocument/2006/relationships/hyperlink" Target="https://texasagriculture.gov/Grants-Services/Rural-Economic-Development/Rural-Community-Development-Block-Grant-CDBG/Forms" TargetMode="External"/><Relationship Id="rId35" Type="http://schemas.openxmlformats.org/officeDocument/2006/relationships/hyperlink" Target="https://texasagriculture.gov/Grants-Services/Rural-Economic-Development/Rural-Community-Development-Block-Grant-CDBG/Form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ounty.org/" TargetMode="External"/><Relationship Id="rId17" Type="http://schemas.openxmlformats.org/officeDocument/2006/relationships/hyperlink" Target="https://data.census.gov/" TargetMode="External"/><Relationship Id="rId25" Type="http://schemas.openxmlformats.org/officeDocument/2006/relationships/hyperlink" Target="https://texasagriculture.gov/Grants-Services/Rural-Economic-Development/Rural-Community-Development-Block-Grant-CDBG/Forms" TargetMode="External"/><Relationship Id="rId33" Type="http://schemas.openxmlformats.org/officeDocument/2006/relationships/hyperlink" Target="https://texasagriculture.gov/Grants-Services/Rural-Economic-Development/Rural-Community-Development-Block-Grant-CDBG/Forms" TargetMode="External"/><Relationship Id="rId38" Type="http://schemas.openxmlformats.org/officeDocument/2006/relationships/hyperlink" Target="https://texasagriculture.gov/Grants-Services/Rural-Economic-Development/Rural-Community-Development-Block-Grant-CDBG/For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exasagriculture.gov/Grants-Services/Rural-Economic-Development/Rural-Community-Development-Block-Grant-CDBG/CDBG-Resources/Beneficiary-Documentation" TargetMode="External"/><Relationship Id="rId1" Type="http://schemas.openxmlformats.org/officeDocument/2006/relationships/hyperlink" Target="https://hud.maps.arcgis.com/apps/webappviewer/index.html?id=1d27b42dd64e4684ba74fe5bd00f9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320DA-0AC2-DE44-B211-99C77145C4FD}">
  <ds:schemaRefs>
    <ds:schemaRef ds:uri="http://schemas.openxmlformats.org/officeDocument/2006/bibliography"/>
  </ds:schemaRefs>
</ds:datastoreItem>
</file>

<file path=customXml/itemProps2.xml><?xml version="1.0" encoding="utf-8"?>
<ds:datastoreItem xmlns:ds="http://schemas.openxmlformats.org/officeDocument/2006/customXml" ds:itemID="{ECF88749-62CB-4F75-9C18-AB82F828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FDE06-95BA-477A-93D0-F0442E046CD7}">
  <ds:schemaRefs>
    <ds:schemaRef ds:uri="http://schemas.microsoft.com/sharepoint/v3/contenttype/forms"/>
  </ds:schemaRefs>
</ds:datastoreItem>
</file>

<file path=customXml/itemProps4.xml><?xml version="1.0" encoding="utf-8"?>
<ds:datastoreItem xmlns:ds="http://schemas.openxmlformats.org/officeDocument/2006/customXml" ds:itemID="{654FA458-613B-4055-B47E-4451C36B9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17</Pages>
  <Words>6846</Words>
  <Characters>42172</Characters>
  <Application>Microsoft Office Word</Application>
  <DocSecurity>0</DocSecurity>
  <Lines>1171</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19</cp:revision>
  <cp:lastPrinted>2022-01-27T19:04:00Z</cp:lastPrinted>
  <dcterms:created xsi:type="dcterms:W3CDTF">2023-08-15T14:58:00Z</dcterms:created>
  <dcterms:modified xsi:type="dcterms:W3CDTF">2024-07-14T00:30:00Z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